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b w:val="1"/>
          <w:bCs w:val="1"/>
          <w:sz w:val="24"/>
          <w:szCs w:val="24"/>
        </w:rPr>
      </w:pPr>
      <w:r>
        <w:rPr>
          <w:b w:val="1"/>
          <w:bCs w:val="1"/>
          <w:sz w:val="24"/>
          <w:szCs w:val="24"/>
          <w:rtl w:val="0"/>
          <w:lang w:val="en-US"/>
        </w:rPr>
        <w:t>Financial Bid</w:t>
      </w:r>
    </w:p>
    <w:p>
      <w:pPr>
        <w:pStyle w:val="Normal.0"/>
        <w:jc w:val="center"/>
        <w:rPr>
          <w:b w:val="1"/>
          <w:bCs w:val="1"/>
          <w:sz w:val="24"/>
          <w:szCs w:val="24"/>
        </w:rPr>
      </w:pPr>
    </w:p>
    <w:p>
      <w:pPr>
        <w:pStyle w:val="Normal.0"/>
        <w:jc w:val="center"/>
        <w:rPr>
          <w:b w:val="1"/>
          <w:bCs w:val="1"/>
          <w:sz w:val="24"/>
          <w:szCs w:val="24"/>
          <w:u w:val="single"/>
        </w:rPr>
      </w:pPr>
      <w:r>
        <w:rPr>
          <w:b w:val="1"/>
          <w:bCs w:val="1"/>
          <w:sz w:val="24"/>
          <w:szCs w:val="24"/>
          <w:rtl w:val="0"/>
          <w:lang w:val="en-US"/>
        </w:rPr>
        <w:t xml:space="preserve">INTERLOCUTOR </w:t>
      </w:r>
      <w:r>
        <w:rPr>
          <w:b w:val="1"/>
          <w:bCs w:val="1"/>
          <w:sz w:val="24"/>
          <w:szCs w:val="24"/>
          <w:rtl w:val="0"/>
          <w:lang w:val="en-US"/>
        </w:rPr>
        <w:t xml:space="preserve">– </w:t>
      </w:r>
      <w:r>
        <w:rPr>
          <w:b w:val="1"/>
          <w:bCs w:val="1"/>
          <w:sz w:val="24"/>
          <w:szCs w:val="24"/>
          <w:rtl w:val="0"/>
          <w:lang w:val="en-US"/>
        </w:rPr>
        <w:t>UNICEF</w:t>
      </w:r>
      <w:r>
        <w:rPr>
          <w:b w:val="1"/>
          <w:bCs w:val="1"/>
          <w:sz w:val="24"/>
          <w:szCs w:val="24"/>
          <w:rtl w:val="0"/>
          <w:lang w:val="en-US"/>
        </w:rPr>
        <w:t>’</w:t>
      </w:r>
      <w:r>
        <w:rPr>
          <w:b w:val="1"/>
          <w:bCs w:val="1"/>
          <w:sz w:val="24"/>
          <w:szCs w:val="24"/>
          <w:rtl w:val="0"/>
          <w:lang w:val="en-US"/>
        </w:rPr>
        <w:t>S WORK WITH GIWA INDIA</w:t>
      </w:r>
    </w:p>
    <w:p>
      <w:pPr>
        <w:pStyle w:val="Normal.0"/>
        <w:jc w:val="center"/>
        <w:rPr>
          <w:sz w:val="24"/>
          <w:szCs w:val="24"/>
        </w:rPr>
      </w:pPr>
    </w:p>
    <w:tbl>
      <w:tblPr>
        <w:tblW w:w="106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3"/>
        <w:gridCol w:w="1427"/>
        <w:gridCol w:w="1437"/>
        <w:gridCol w:w="1909"/>
        <w:gridCol w:w="1256"/>
        <w:gridCol w:w="1646"/>
      </w:tblGrid>
      <w:tr>
        <w:tblPrEx>
          <w:shd w:val="clear" w:color="auto" w:fill="ced7e7"/>
        </w:tblPrEx>
        <w:trPr>
          <w:trHeight w:val="222" w:hRule="atLeast"/>
        </w:trPr>
        <w:tc>
          <w:tcPr>
            <w:tcW w:type="dxa" w:w="300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b w:val="1"/>
                <w:bCs w:val="1"/>
                <w:lang w:val="en-US"/>
              </w:rPr>
            </w:pPr>
          </w:p>
          <w:p>
            <w:pPr>
              <w:pStyle w:val="Normal.0"/>
              <w:jc w:val="center"/>
              <w:rPr>
                <w:b w:val="1"/>
                <w:bCs w:val="1"/>
                <w:lang w:val="en-US"/>
              </w:rPr>
            </w:pPr>
          </w:p>
          <w:p>
            <w:pPr>
              <w:pStyle w:val="Normal.0"/>
              <w:jc w:val="center"/>
              <w:rPr>
                <w:b w:val="1"/>
                <w:bCs w:val="1"/>
                <w:lang w:val="en-US"/>
              </w:rPr>
            </w:pPr>
          </w:p>
          <w:p>
            <w:pPr>
              <w:pStyle w:val="Normal.0"/>
              <w:bidi w:val="0"/>
              <w:ind w:left="0" w:right="0" w:firstLine="0"/>
              <w:jc w:val="center"/>
              <w:rPr>
                <w:rtl w:val="0"/>
              </w:rPr>
            </w:pPr>
            <w:r>
              <w:rPr>
                <w:b w:val="1"/>
                <w:bCs w:val="1"/>
                <w:rtl w:val="0"/>
                <w:lang w:val="en-US"/>
              </w:rPr>
              <w:t xml:space="preserve">Major Tasks: </w:t>
            </w:r>
          </w:p>
        </w:tc>
        <w:tc>
          <w:tcPr>
            <w:tcW w:type="dxa" w:w="14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b w:val="1"/>
                <w:bCs w:val="1"/>
              </w:rPr>
            </w:pPr>
            <w:r>
              <w:rPr>
                <w:b w:val="1"/>
                <w:bCs w:val="1"/>
                <w:rtl w:val="0"/>
                <w:lang w:val="en-US"/>
              </w:rPr>
              <w:t>Deliverable (s)</w:t>
            </w:r>
          </w:p>
          <w:p>
            <w:pPr>
              <w:pStyle w:val="Normal.0"/>
              <w:rPr>
                <w:b w:val="1"/>
                <w:bCs w:val="1"/>
                <w:lang w:val="en-US"/>
              </w:rPr>
            </w:pPr>
          </w:p>
          <w:p>
            <w:pPr>
              <w:pStyle w:val="Normal.0"/>
              <w:bidi w:val="0"/>
              <w:ind w:left="0" w:right="0" w:firstLine="0"/>
              <w:jc w:val="center"/>
              <w:rPr>
                <w:rtl w:val="0"/>
              </w:rPr>
            </w:pPr>
            <w:r>
              <w:rPr>
                <w:rFonts w:ascii="Verdana" w:hAnsi="Verdana"/>
                <w:b w:val="1"/>
                <w:bCs w:val="1"/>
                <w:sz w:val="18"/>
                <w:szCs w:val="18"/>
                <w:rtl w:val="0"/>
                <w:lang w:val="en-US"/>
              </w:rPr>
              <w:t>(</w:t>
            </w:r>
            <w:r>
              <w:rPr>
                <w:rFonts w:ascii="Verdana" w:hAnsi="Verdana"/>
                <w:b w:val="0"/>
                <w:bCs w:val="0"/>
                <w:sz w:val="18"/>
                <w:szCs w:val="18"/>
                <w:rtl w:val="0"/>
                <w:lang w:val="en-US"/>
              </w:rPr>
              <w:t>S</w:t>
            </w:r>
            <w:r>
              <w:rPr>
                <w:b w:val="0"/>
                <w:bCs w:val="0"/>
                <w:rtl w:val="0"/>
                <w:lang w:val="en-US"/>
              </w:rPr>
              <w:t>ubmissions made to UNICEF should be satisfactory to UNICEF and in acceptance to UNICEF</w:t>
            </w:r>
            <w:r>
              <w:rPr>
                <w:rFonts w:ascii="Verdana" w:hAnsi="Verdana"/>
                <w:b w:val="1"/>
                <w:bCs w:val="1"/>
                <w:sz w:val="18"/>
                <w:szCs w:val="18"/>
                <w:rtl w:val="0"/>
                <w:lang w:val="en-US"/>
              </w:rPr>
              <w:t xml:space="preserve"> )</w:t>
            </w:r>
          </w:p>
        </w:tc>
        <w:tc>
          <w:tcPr>
            <w:tcW w:type="dxa" w:w="334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rtl w:val="0"/>
                <w:lang w:val="en-US"/>
              </w:rPr>
              <w:t>UNICEF Estimate</w:t>
            </w:r>
          </w:p>
        </w:tc>
        <w:tc>
          <w:tcPr>
            <w:tcW w:type="dxa" w:w="29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rtl w:val="0"/>
                <w:lang w:val="en-US"/>
              </w:rPr>
              <w:t>Consultant's Proposal</w:t>
            </w:r>
          </w:p>
        </w:tc>
      </w:tr>
      <w:tr>
        <w:tblPrEx>
          <w:shd w:val="clear" w:color="auto" w:fill="ced7e7"/>
        </w:tblPrEx>
        <w:trPr>
          <w:trHeight w:val="2508" w:hRule="atLeast"/>
        </w:trPr>
        <w:tc>
          <w:tcPr>
            <w:tcW w:type="dxa" w:w="30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rtl w:val="0"/>
                <w:lang w:val="en-US"/>
              </w:rPr>
              <w:t>Estimated deadline for completion of deliverable)</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rtl w:val="0"/>
                <w:lang w:val="en-US"/>
              </w:rPr>
              <w:t>Estimated travel required for completion of deliverable (please mention destination/ number of days)</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rtl w:val="0"/>
                <w:lang w:val="en-US"/>
              </w:rPr>
              <w:t>Complete timeframe for deliverable</w:t>
            </w: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b w:val="1"/>
                <w:bCs w:val="1"/>
              </w:rPr>
            </w:pPr>
            <w:r>
              <w:rPr>
                <w:b w:val="1"/>
                <w:bCs w:val="1"/>
                <w:rtl w:val="0"/>
                <w:lang w:val="en-US"/>
              </w:rPr>
              <w:t>Cost (INR)</w:t>
            </w:r>
          </w:p>
          <w:p>
            <w:pPr>
              <w:pStyle w:val="Normal.0"/>
              <w:jc w:val="center"/>
            </w:pPr>
            <w:r>
              <w:rPr>
                <w:rtl w:val="0"/>
                <w:lang w:val="en-US"/>
              </w:rPr>
              <w:t xml:space="preserve">(All inclusive i.e. </w:t>
            </w:r>
            <w:r>
              <w:rPr>
                <w:b w:val="1"/>
                <w:bCs w:val="1"/>
                <w:shd w:val="clear" w:color="auto" w:fill="ffff00"/>
                <w:rtl w:val="0"/>
                <w:lang w:val="en-US"/>
              </w:rPr>
              <w:t>professional fee</w:t>
            </w:r>
            <w:r>
              <w:rPr>
                <w:b w:val="1"/>
                <w:bCs w:val="1"/>
                <w:rtl w:val="0"/>
                <w:lang w:val="en-US"/>
              </w:rPr>
              <w:t>)</w:t>
            </w:r>
          </w:p>
        </w:tc>
      </w:tr>
      <w:tr>
        <w:tblPrEx>
          <w:shd w:val="clear" w:color="auto" w:fill="ced7e7"/>
        </w:tblPrEx>
        <w:trPr>
          <w:trHeight w:val="396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Taking into consideration the GIWA Core Group membership, and the GIWA-India Secretariat leadership, identify by faith (namely, Buddhism, Jainism, Islam, Christianity, Hinduism and Sikhism), and geographic location/influence (with the priorities being UP, MP, Bihar, Odisha, Jharkhand, WB), the key influencing faith leaders, segmented by those who can drive demand generation for toilet use; stimulate mass social change and those that can influence government and policy</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4877"/>
              </w:tabs>
            </w:pPr>
            <w:r>
              <w:rPr>
                <w:rtl w:val="0"/>
                <w:lang w:val="en-US"/>
              </w:rPr>
              <w:t>1 comprehensive list of key faith leaders and their coordinates</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rtl w:val="0"/>
                <w:lang w:val="en-US"/>
              </w:rPr>
              <w:t>30 June 2016</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pPr>
            <w:r>
              <w:rPr>
                <w:b w:val="1"/>
                <w:bCs w:val="1"/>
                <w:rtl w:val="0"/>
                <w:lang w:val="en-US"/>
              </w:rPr>
              <w:t>Indicate the Price</w:t>
            </w:r>
          </w:p>
        </w:tc>
      </w:tr>
      <w:tr>
        <w:tblPrEx>
          <w:shd w:val="clear" w:color="auto" w:fill="ced7e7"/>
        </w:tblPrEx>
        <w:trPr>
          <w:trHeight w:val="286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 xml:space="preserve">Make and sustain contact with the identified faith leaders and establish and maintain a rapport; ensure each is orientated about the urgent need to reduce open defecation and improve hygiene practices by all regardless of religion/faith, caste, gender or position in society; and the role each leader can play in making this a reality. </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4877"/>
              </w:tabs>
            </w:pPr>
            <w:r>
              <w:rPr>
                <w:rtl w:val="0"/>
                <w:lang w:val="en-US"/>
              </w:rPr>
              <w:t xml:space="preserve">Four reports on sensitization meetings with identified faith leaders </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 xml:space="preserve">November 2016  </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jc w:val="left"/>
            </w:pPr>
            <w:r>
              <w:rPr>
                <w:sz w:val="20"/>
                <w:szCs w:val="20"/>
                <w:rtl w:val="0"/>
                <w:lang w:val="en-US"/>
              </w:rPr>
              <w:t>Travel expected throughout India on an average four days a month</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pPr>
            <w:r>
              <w:rPr>
                <w:b w:val="1"/>
                <w:bCs w:val="1"/>
                <w:rtl w:val="0"/>
                <w:lang w:val="en-US"/>
              </w:rPr>
              <w:t>Indicate the Price per report x 4</w:t>
            </w:r>
          </w:p>
        </w:tc>
      </w:tr>
      <w:tr>
        <w:tblPrEx>
          <w:shd w:val="clear" w:color="auto" w:fill="ced7e7"/>
        </w:tblPrEx>
        <w:trPr>
          <w:trHeight w:val="198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Through interviews with the faith leaders, rapidly develop a set of religion specific advocacy packs that link present cultural and faith based moorings and practices with the main message of toilet use by all and improved hygiene practices.</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4877"/>
              </w:tabs>
            </w:pPr>
            <w:r>
              <w:rPr>
                <w:rtl w:val="0"/>
                <w:lang w:val="en-US"/>
              </w:rPr>
              <w:t>Five Advocacy packs (one per main faith)</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November 2016</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44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pPr>
            <w:r>
              <w:rPr>
                <w:b w:val="1"/>
                <w:bCs w:val="1"/>
                <w:rtl w:val="0"/>
                <w:lang w:val="en-US"/>
              </w:rPr>
              <w:t>Indicate the Price per advocacy pack x 5</w:t>
            </w:r>
          </w:p>
        </w:tc>
      </w:tr>
      <w:tr>
        <w:tblPrEx>
          <w:shd w:val="clear" w:color="auto" w:fill="ced7e7"/>
        </w:tblPrEx>
        <w:trPr>
          <w:trHeight w:val="286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 xml:space="preserve">Using the above work with the individual faith leaders to create an action plan based on their commitments to actively engage in advocacy and behavior change communication with either or all of: congregations (demand generation); social movements (wider society engagement in the issue); or policy level; and agree timeframes and monitoring  </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4877"/>
              </w:tabs>
            </w:pPr>
            <w:r>
              <w:rPr>
                <w:rtl w:val="0"/>
                <w:lang w:val="en-US"/>
              </w:rPr>
              <w:t>Creation of Five action plans for identified faith leaders with timelines (one per main faith)</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 xml:space="preserve">November  2016 </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pPr>
            <w:r>
              <w:rPr>
                <w:b w:val="1"/>
                <w:bCs w:val="1"/>
                <w:rtl w:val="0"/>
                <w:lang w:val="en-US"/>
              </w:rPr>
              <w:t>Indicate the Price per action plan x 5</w:t>
            </w:r>
          </w:p>
        </w:tc>
      </w:tr>
      <w:tr>
        <w:tblPrEx>
          <w:shd w:val="clear" w:color="auto" w:fill="ced7e7"/>
        </w:tblPrEx>
        <w:trPr>
          <w:trHeight w:val="132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 xml:space="preserve">Organize at least three regional roundtables of editors and faith leaders based on UNICEF learning from the first such gathering held in Delhi on March 28, 2015. </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lorful Shading - Accent 3"/>
              <w:ind w:left="0" w:firstLine="0"/>
            </w:pPr>
            <w:r>
              <w:rPr>
                <w:sz w:val="20"/>
                <w:szCs w:val="20"/>
                <w:rtl w:val="0"/>
                <w:lang w:val="en-US"/>
              </w:rPr>
              <w:t xml:space="preserve">Three Reports for regional media and faith roundtables </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31 December 2016</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Text 2"/>
              <w:jc w:val="left"/>
            </w:pPr>
            <w:r>
              <w:rPr>
                <w:sz w:val="20"/>
                <w:szCs w:val="20"/>
                <w:rtl w:val="0"/>
                <w:lang w:val="en-US"/>
              </w:rPr>
              <w:t>Travel expected to three states, on an average for two days per region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pPr>
            <w:r>
              <w:rPr>
                <w:b w:val="1"/>
                <w:bCs w:val="1"/>
                <w:rtl w:val="0"/>
                <w:lang w:val="en-US"/>
              </w:rPr>
              <w:t>Indicate the Price per report x 3</w:t>
            </w:r>
          </w:p>
        </w:tc>
      </w:tr>
      <w:tr>
        <w:tblPrEx>
          <w:shd w:val="clear" w:color="auto" w:fill="ced7e7"/>
        </w:tblPrEx>
        <w:trPr>
          <w:trHeight w:val="154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 xml:space="preserve">Improve the visibility of the need to reduce open defecation/toilet use by all, and the need for improved hygiene practices, by commissioning feature stories/op-eds (print/TV); and </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lorful Shading - Accent 3"/>
              <w:ind w:left="0" w:firstLine="0"/>
            </w:pPr>
            <w:r>
              <w:rPr>
                <w:sz w:val="20"/>
                <w:szCs w:val="20"/>
                <w:rtl w:val="0"/>
                <w:lang w:val="en-US"/>
              </w:rPr>
              <w:t xml:space="preserve">30 feature stories/ op-eds (Average of 4 per month) </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31 December 2016</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152"/>
              <w:bottom w:type="dxa" w:w="80"/>
              <w:right w:type="dxa" w:w="80"/>
            </w:tcMar>
            <w:vAlign w:val="top"/>
          </w:tcPr>
          <w:p>
            <w:pPr>
              <w:pStyle w:val="Body Text 2"/>
              <w:ind w:left="72" w:firstLine="0"/>
              <w:jc w:val="left"/>
            </w:pPr>
            <w:r>
              <w:rPr>
                <w:b w:val="1"/>
                <w:bCs w:val="1"/>
                <w:sz w:val="20"/>
                <w:szCs w:val="20"/>
                <w:rtl w:val="0"/>
                <w:lang w:val="en-US"/>
              </w:rPr>
              <w:t>Indicate the Price per feature story/op-ed x 30</w:t>
            </w:r>
          </w:p>
        </w:tc>
      </w:tr>
      <w:tr>
        <w:tblPrEx>
          <w:shd w:val="clear" w:color="auto" w:fill="ced7e7"/>
        </w:tblPrEx>
        <w:trPr>
          <w:trHeight w:val="1102"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360"/>
              </w:tabs>
            </w:pPr>
            <w:r>
              <w:rPr>
                <w:rtl w:val="0"/>
                <w:lang w:val="en-US"/>
              </w:rPr>
              <w:t>Develop media kits and other relevant content linking faith with toilet use for all and improved hygiene practices, in discussion with UNICEF</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lorful Shading - Accent 3"/>
              <w:ind w:left="0" w:firstLine="0"/>
            </w:pPr>
            <w:r>
              <w:rPr>
                <w:sz w:val="20"/>
                <w:szCs w:val="20"/>
                <w:rtl w:val="0"/>
                <w:lang w:val="en-US"/>
              </w:rPr>
              <w:t>Five Media kits per main faith (one per main faith)</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rtl w:val="0"/>
                <w:lang w:val="en-US"/>
              </w:rPr>
              <w:t xml:space="preserve">Between June 2016 </w:t>
            </w:r>
            <w:r>
              <w:rPr>
                <w:rtl w:val="0"/>
                <w:lang w:val="en-US"/>
              </w:rPr>
              <w:t xml:space="preserve">– </w:t>
            </w:r>
            <w:r>
              <w:rPr>
                <w:rtl w:val="0"/>
                <w:lang w:val="en-US"/>
              </w:rPr>
              <w:t xml:space="preserve">31 December 2016 </w:t>
            </w:r>
          </w:p>
        </w:tc>
        <w:tc>
          <w:tcPr>
            <w:tcW w:type="dxa" w:w="1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tc>
        <w:tc>
          <w:tcPr>
            <w:tcW w:type="dxa" w:w="1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152"/>
              <w:bottom w:type="dxa" w:w="80"/>
              <w:right w:type="dxa" w:w="80"/>
            </w:tcMar>
            <w:vAlign w:val="top"/>
          </w:tcPr>
          <w:p>
            <w:pPr>
              <w:pStyle w:val="Body Text 2"/>
              <w:ind w:left="72" w:firstLine="0"/>
              <w:jc w:val="left"/>
            </w:pPr>
            <w:r>
              <w:rPr>
                <w:b w:val="1"/>
                <w:bCs w:val="1"/>
                <w:sz w:val="20"/>
                <w:szCs w:val="20"/>
                <w:rtl w:val="0"/>
                <w:lang w:val="en-US"/>
              </w:rPr>
              <w:t>Indicate Price per media kit x 5</w:t>
            </w:r>
          </w:p>
        </w:tc>
      </w:tr>
      <w:tr>
        <w:tblPrEx>
          <w:shd w:val="clear" w:color="auto" w:fill="ced7e7"/>
        </w:tblPrEx>
        <w:trPr>
          <w:trHeight w:val="662" w:hRule="atLeast"/>
        </w:trPr>
        <w:tc>
          <w:tcPr>
            <w:tcW w:type="dxa" w:w="106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bd4b4"/>
            <w:tcMar>
              <w:top w:type="dxa" w:w="80"/>
              <w:left w:type="dxa" w:w="80"/>
              <w:bottom w:type="dxa" w:w="80"/>
              <w:right w:type="dxa" w:w="80"/>
            </w:tcMar>
            <w:vAlign w:val="top"/>
          </w:tcPr>
          <w:p>
            <w:pPr>
              <w:pStyle w:val="Normal.0"/>
              <w:rPr>
                <w:b w:val="1"/>
                <w:bCs w:val="1"/>
                <w:lang w:val="en-US"/>
              </w:rPr>
            </w:pPr>
          </w:p>
          <w:p>
            <w:pPr>
              <w:pStyle w:val="Normal.0"/>
              <w:bidi w:val="0"/>
              <w:ind w:left="0" w:right="2950" w:firstLine="0"/>
              <w:jc w:val="right"/>
              <w:rPr>
                <w:rtl w:val="0"/>
              </w:rPr>
            </w:pPr>
            <w:r>
              <w:rPr>
                <w:b w:val="1"/>
                <w:bCs w:val="1"/>
                <w:rtl w:val="0"/>
                <w:lang w:val="en-US"/>
              </w:rPr>
              <w:t>TOTAL AMOUNT IN RUPEES</w:t>
            </w:r>
            <w:r>
              <w:rPr>
                <w:b w:val="1"/>
                <w:bCs w:val="1"/>
              </w:rPr>
            </w:r>
          </w:p>
        </w:tc>
      </w:tr>
    </w:tbl>
    <w:p>
      <w:pPr>
        <w:pStyle w:val="Normal.0"/>
        <w:widowControl w:val="0"/>
        <w:jc w:val="center"/>
        <w:rPr>
          <w:sz w:val="24"/>
          <w:szCs w:val="24"/>
        </w:rPr>
      </w:pPr>
    </w:p>
    <w:p>
      <w:pPr>
        <w:pStyle w:val="Normal.0"/>
        <w:rPr>
          <w:rFonts w:ascii="Verdana" w:cs="Verdana" w:hAnsi="Verdana" w:eastAsia="Verdana"/>
          <w:b w:val="1"/>
          <w:bCs w:val="1"/>
          <w:i w:val="1"/>
          <w:iCs w:val="1"/>
        </w:rPr>
      </w:pPr>
    </w:p>
    <w:p>
      <w:pPr>
        <w:pStyle w:val="Normal.0"/>
        <w:rPr>
          <w:rFonts w:ascii="Verdana" w:cs="Verdana" w:hAnsi="Verdana" w:eastAsia="Verdana"/>
          <w:b w:val="1"/>
          <w:bCs w:val="1"/>
          <w:i w:val="1"/>
          <w:iCs w:val="1"/>
        </w:rPr>
      </w:pPr>
      <w:r>
        <w:rPr>
          <w:rFonts w:ascii="Verdana" w:hAnsi="Verdana"/>
          <w:b w:val="1"/>
          <w:bCs w:val="1"/>
          <w:i w:val="1"/>
          <w:iCs w:val="1"/>
          <w:rtl w:val="0"/>
          <w:lang w:val="en-US"/>
        </w:rPr>
        <w:t>NOTE:</w:t>
      </w:r>
    </w:p>
    <w:p>
      <w:pPr>
        <w:pStyle w:val="Medium Grid 1 - Accent 2"/>
        <w:numPr>
          <w:ilvl w:val="0"/>
          <w:numId w:val="2"/>
        </w:numPr>
        <w:bidi w:val="0"/>
        <w:spacing w:after="0" w:line="240" w:lineRule="auto"/>
        <w:ind w:right="0"/>
        <w:jc w:val="left"/>
        <w:rPr>
          <w:rFonts w:ascii="Calibri Light" w:cs="Calibri Light" w:hAnsi="Calibri Light" w:eastAsia="Calibri Light"/>
          <w:b w:val="1"/>
          <w:bCs w:val="1"/>
          <w:i w:val="1"/>
          <w:iCs w:val="1"/>
          <w:sz w:val="28"/>
          <w:szCs w:val="28"/>
          <w:rtl w:val="0"/>
          <w:lang w:val="en-US"/>
        </w:rPr>
      </w:pPr>
      <w:r>
        <w:rPr>
          <w:rFonts w:ascii="Calibri Light" w:cs="Calibri Light" w:hAnsi="Calibri Light" w:eastAsia="Calibri Light"/>
          <w:b w:val="1"/>
          <w:bCs w:val="1"/>
          <w:i w:val="1"/>
          <w:iCs w:val="1"/>
          <w:sz w:val="28"/>
          <w:szCs w:val="28"/>
          <w:rtl w:val="0"/>
          <w:lang w:val="en-US"/>
        </w:rPr>
        <w:t>Shaded portions need to be filled in by the consultant.</w:t>
      </w:r>
    </w:p>
    <w:p>
      <w:pPr>
        <w:pStyle w:val="Normal.0"/>
        <w:numPr>
          <w:ilvl w:val="0"/>
          <w:numId w:val="3"/>
        </w:numPr>
        <w:bidi w:val="0"/>
        <w:ind w:right="0"/>
        <w:jc w:val="left"/>
        <w:rPr>
          <w:rFonts w:ascii="Calibri Light" w:cs="Calibri Light" w:hAnsi="Calibri Light" w:eastAsia="Calibri Light"/>
          <w:i w:val="1"/>
          <w:iCs w:val="1"/>
          <w:rtl w:val="0"/>
          <w:lang w:val="en-US"/>
        </w:rPr>
      </w:pPr>
      <w:r>
        <w:rPr>
          <w:rFonts w:ascii="Calibri Light" w:cs="Calibri Light" w:hAnsi="Calibri Light" w:eastAsia="Calibri Light"/>
          <w:i w:val="1"/>
          <w:iCs w:val="1"/>
          <w:rtl w:val="0"/>
          <w:lang w:val="en-US"/>
        </w:rPr>
        <w:t>Travel to be based on a pre-approved travel plans and economy fares for air travel.</w:t>
      </w:r>
    </w:p>
    <w:p>
      <w:pPr>
        <w:pStyle w:val="Normal.0"/>
        <w:numPr>
          <w:ilvl w:val="0"/>
          <w:numId w:val="3"/>
        </w:numPr>
        <w:bidi w:val="0"/>
        <w:ind w:right="0"/>
        <w:jc w:val="left"/>
        <w:rPr>
          <w:rFonts w:ascii="Calibri Light" w:cs="Calibri Light" w:hAnsi="Calibri Light" w:eastAsia="Calibri Light"/>
          <w:i w:val="1"/>
          <w:iCs w:val="1"/>
          <w:rtl w:val="0"/>
          <w:lang w:val="en-US"/>
        </w:rPr>
      </w:pPr>
      <w:r>
        <w:rPr>
          <w:rFonts w:ascii="Calibri Light" w:cs="Calibri Light" w:hAnsi="Calibri Light" w:eastAsia="Calibri Light"/>
          <w:i w:val="1"/>
          <w:iCs w:val="1"/>
          <w:rtl w:val="0"/>
          <w:lang w:val="en-US"/>
        </w:rPr>
        <w:t>Travel expenses will be reimbursed at actuals on receipt of a travel claim with</w:t>
      </w:r>
    </w:p>
    <w:p>
      <w:pPr>
        <w:pStyle w:val="Normal.0"/>
        <w:ind w:left="360" w:firstLine="0"/>
        <w:rPr>
          <w:rFonts w:ascii="Calibri Light" w:cs="Calibri Light" w:hAnsi="Calibri Light" w:eastAsia="Calibri Light"/>
          <w:i w:val="1"/>
          <w:iCs w:val="1"/>
        </w:rPr>
      </w:pPr>
      <w:r>
        <w:rPr>
          <w:rFonts w:ascii="Calibri Light" w:cs="Calibri Light" w:hAnsi="Calibri Light" w:eastAsia="Calibri Light"/>
          <w:i w:val="1"/>
          <w:iCs w:val="1"/>
          <w:rtl w:val="0"/>
          <w:lang w:val="en-US"/>
        </w:rPr>
        <w:t>supporting documents/invoices and DSA reimbursed at UNICEF</w:t>
      </w:r>
      <w:r>
        <w:rPr>
          <w:rFonts w:ascii="Calibri Light" w:cs="Calibri Light" w:hAnsi="Calibri Light" w:eastAsia="Calibri Light"/>
          <w:i w:val="1"/>
          <w:iCs w:val="1"/>
          <w:rtl w:val="0"/>
          <w:lang w:val="en-US"/>
        </w:rPr>
        <w:t>’</w:t>
      </w:r>
      <w:r>
        <w:rPr>
          <w:rFonts w:ascii="Calibri Light" w:cs="Calibri Light" w:hAnsi="Calibri Light" w:eastAsia="Calibri Light"/>
          <w:i w:val="1"/>
          <w:iCs w:val="1"/>
          <w:rtl w:val="0"/>
          <w:lang w:val="en-US"/>
        </w:rPr>
        <w:t>s consultants rates.</w:t>
      </w:r>
    </w:p>
    <w:p>
      <w:pPr>
        <w:pStyle w:val="Normal.0"/>
        <w:numPr>
          <w:ilvl w:val="0"/>
          <w:numId w:val="3"/>
        </w:numPr>
        <w:bidi w:val="0"/>
        <w:ind w:right="0"/>
        <w:jc w:val="left"/>
        <w:rPr>
          <w:rFonts w:ascii="Calibri Light" w:cs="Calibri Light" w:hAnsi="Calibri Light" w:eastAsia="Calibri Light"/>
          <w:i w:val="1"/>
          <w:iCs w:val="1"/>
          <w:rtl w:val="0"/>
          <w:lang w:val="en-US"/>
        </w:rPr>
      </w:pPr>
      <w:r>
        <w:rPr>
          <w:rFonts w:ascii="Calibri Light" w:cs="Calibri Light" w:hAnsi="Calibri Light" w:eastAsia="Calibri Light"/>
          <w:i w:val="1"/>
          <w:iCs w:val="1"/>
          <w:rtl w:val="0"/>
          <w:lang w:val="en-US"/>
        </w:rPr>
        <w:t>Payment is linked to receipt and satisfactory acceptance of deliverables</w:t>
      </w:r>
    </w:p>
    <w:p>
      <w:pPr>
        <w:pStyle w:val="Normal.0"/>
        <w:rPr>
          <w:rFonts w:ascii="Tahoma" w:cs="Tahoma" w:hAnsi="Tahoma" w:eastAsia="Tahoma"/>
          <w:b w:val="1"/>
          <w:bCs w:val="1"/>
        </w:rPr>
      </w:pPr>
    </w:p>
    <w:p>
      <w:pPr>
        <w:pStyle w:val="Normal.0"/>
        <w:rPr>
          <w:rFonts w:ascii="Calibri" w:cs="Calibri" w:hAnsi="Calibri" w:eastAsia="Calibri"/>
          <w:i w:val="1"/>
          <w:iCs w:val="1"/>
          <w:sz w:val="22"/>
          <w:szCs w:val="22"/>
        </w:rPr>
      </w:pP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rPr>
      </w:pPr>
      <w:r>
        <w:rPr>
          <w:rFonts w:ascii="Calibri" w:cs="Calibri" w:hAnsi="Calibri" w:eastAsia="Calibri"/>
          <w:b w:val="1"/>
          <w:bCs w:val="1"/>
          <w:sz w:val="22"/>
          <w:szCs w:val="22"/>
          <w:rtl w:val="0"/>
          <w:lang w:val="en-US"/>
        </w:rPr>
        <w:t>Name of the Bidder:</w:t>
        <w:tab/>
        <w:t xml:space="preserve">   </w:t>
        <w:tab/>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r>
        <w:rPr>
          <w:rFonts w:ascii="Calibri" w:cs="Calibri" w:hAnsi="Calibri" w:eastAsia="Calibri"/>
          <w:b w:val="1"/>
          <w:bCs w:val="1"/>
          <w:sz w:val="22"/>
          <w:szCs w:val="22"/>
          <w:rtl w:val="0"/>
          <w:lang w:val="en-US"/>
        </w:rPr>
        <w:t>Address:</w:t>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r>
        <w:rPr>
          <w:rFonts w:ascii="Calibri" w:cs="Calibri" w:hAnsi="Calibri" w:eastAsia="Calibri"/>
          <w:b w:val="1"/>
          <w:bCs w:val="1"/>
          <w:sz w:val="22"/>
          <w:szCs w:val="22"/>
          <w:rtl w:val="0"/>
          <w:lang w:val="en-US"/>
        </w:rPr>
        <w:t>Contact no.:</w:t>
        <w:tab/>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rPr>
      </w:pPr>
      <w:r>
        <w:rPr>
          <w:rFonts w:ascii="Calibri" w:cs="Calibri" w:hAnsi="Calibri" w:eastAsia="Calibri"/>
          <w:b w:val="1"/>
          <w:bCs w:val="1"/>
          <w:sz w:val="22"/>
          <w:szCs w:val="22"/>
          <w:rtl w:val="0"/>
          <w:lang w:val="en-US"/>
        </w:rPr>
        <w:t>Email address:</w:t>
      </w:r>
    </w:p>
    <w:p>
      <w:pPr>
        <w:pStyle w:val="Normal.0"/>
        <w:rPr>
          <w:rFonts w:ascii="Calibri" w:cs="Calibri" w:hAnsi="Calibri" w:eastAsia="Calibri"/>
          <w:b w:val="1"/>
          <w:bCs w:val="1"/>
          <w:sz w:val="22"/>
          <w:szCs w:val="22"/>
        </w:rPr>
      </w:pPr>
    </w:p>
    <w:p>
      <w:pPr>
        <w:pStyle w:val="Normal.0"/>
        <w:rPr>
          <w:rFonts w:ascii="Calibri" w:cs="Calibri" w:hAnsi="Calibri" w:eastAsia="Calibri"/>
          <w:sz w:val="22"/>
          <w:szCs w:val="22"/>
        </w:rPr>
      </w:pPr>
      <w:r>
        <w:rPr>
          <w:rFonts w:ascii="Calibri" w:cs="Calibri" w:hAnsi="Calibri" w:eastAsia="Calibri"/>
          <w:b w:val="1"/>
          <w:bCs w:val="1"/>
          <w:sz w:val="22"/>
          <w:szCs w:val="22"/>
          <w:rtl w:val="0"/>
          <w:lang w:val="en-US"/>
        </w:rPr>
        <w:t>Date :</w:t>
        <w:tab/>
        <w:tab/>
        <w:tab/>
        <w:tab/>
      </w:r>
    </w:p>
    <w:p>
      <w:pPr>
        <w:pStyle w:val="Normal.0"/>
        <w:rPr>
          <w:rFonts w:ascii="Tahoma" w:cs="Tahoma" w:hAnsi="Tahoma" w:eastAsia="Tahoma"/>
          <w:b w:val="1"/>
          <w:bCs w:val="1"/>
        </w:rPr>
      </w:pPr>
    </w:p>
    <w:p>
      <w:pPr>
        <w:pStyle w:val="Normal.0"/>
        <w:rPr>
          <w:rFonts w:ascii="Tahoma" w:cs="Tahoma" w:hAnsi="Tahoma" w:eastAsia="Tahoma"/>
          <w:b w:val="1"/>
          <w:bCs w:val="1"/>
        </w:rPr>
      </w:pPr>
      <w:r>
        <w:rPr>
          <w:rFonts w:ascii="Tahoma" w:hAnsi="Tahoma"/>
          <w:b w:val="1"/>
          <w:bCs w:val="1"/>
          <w:rtl w:val="0"/>
          <w:lang w:val="en-US"/>
        </w:rPr>
        <w:t>Name of the Bidder:</w:t>
        <w:tab/>
        <w:t xml:space="preserve">   </w:t>
        <w:tab/>
      </w:r>
    </w:p>
    <w:p>
      <w:pPr>
        <w:pStyle w:val="Normal.0"/>
        <w:rPr>
          <w:rFonts w:ascii="Tahoma" w:cs="Tahoma" w:hAnsi="Tahoma" w:eastAsia="Tahoma"/>
          <w:b w:val="1"/>
          <w:bCs w:val="1"/>
        </w:rPr>
      </w:pPr>
      <w:r>
        <w:rPr>
          <w:rFonts w:ascii="Tahoma" w:hAnsi="Tahoma"/>
          <w:b w:val="1"/>
          <w:bCs w:val="1"/>
          <w:rtl w:val="0"/>
          <w:lang w:val="en-US"/>
        </w:rPr>
        <w:t xml:space="preserve">Address: </w:t>
      </w:r>
    </w:p>
    <w:p>
      <w:pPr>
        <w:pStyle w:val="Normal.0"/>
        <w:rPr>
          <w:rFonts w:ascii="Tahoma" w:cs="Tahoma" w:hAnsi="Tahoma" w:eastAsia="Tahoma"/>
          <w:b w:val="1"/>
          <w:bCs w:val="1"/>
        </w:rPr>
      </w:pPr>
      <w:r>
        <w:rPr>
          <w:rFonts w:ascii="Tahoma" w:hAnsi="Tahoma"/>
          <w:b w:val="1"/>
          <w:bCs w:val="1"/>
          <w:rtl w:val="0"/>
          <w:lang w:val="en-US"/>
        </w:rPr>
        <w:t xml:space="preserve">Email address: </w:t>
      </w:r>
    </w:p>
    <w:p>
      <w:pPr>
        <w:pStyle w:val="Normal.0"/>
        <w:rPr>
          <w:rFonts w:ascii="Calibri Light" w:cs="Calibri Light" w:hAnsi="Calibri Light" w:eastAsia="Calibri Light"/>
          <w:sz w:val="24"/>
          <w:szCs w:val="24"/>
        </w:rPr>
      </w:pPr>
      <w:r>
        <w:rPr>
          <w:rFonts w:ascii="Tahoma" w:hAnsi="Tahoma"/>
          <w:b w:val="1"/>
          <w:bCs w:val="1"/>
          <w:rtl w:val="0"/>
          <w:lang w:val="en-US"/>
        </w:rPr>
        <w:t>Date:</w:t>
        <w:tab/>
        <w:tab/>
      </w:r>
    </w:p>
    <w:p>
      <w:pPr>
        <w:pStyle w:val="Normal.0"/>
        <w:rPr>
          <w:rFonts w:ascii="Calibri Light" w:cs="Calibri Light" w:hAnsi="Calibri Light" w:eastAsia="Calibri Light"/>
          <w:sz w:val="24"/>
          <w:szCs w:val="24"/>
        </w:rPr>
      </w:pPr>
    </w:p>
    <w:p>
      <w:pPr>
        <w:pStyle w:val="Normal.0"/>
      </w:pPr>
      <w:r>
        <w:rPr>
          <w:b w:val="1"/>
          <w:bCs w:val="1"/>
          <w:sz w:val="24"/>
          <w:szCs w:val="24"/>
        </w:rPr>
        <w:tab/>
        <w:tab/>
      </w:r>
    </w:p>
    <w:sectPr>
      <w:headerReference w:type="default" r:id="rId4"/>
      <w:footerReference w:type="default" r:id="rId5"/>
      <w:pgSz w:w="11900" w:h="16840" w:orient="portrait"/>
      <w:pgMar w:top="1440" w:right="1170" w:bottom="12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mbria">
    <w:charset w:val="00"/>
    <w:family w:val="roman"/>
    <w:pitch w:val="default"/>
  </w:font>
  <w:font w:name="Calibri Light">
    <w:charset w:val="00"/>
    <w:family w:val="roman"/>
    <w:pitch w:val="default"/>
  </w:font>
  <w:font w:name="Tahom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olorful Shading - Accent 3">
    <w:name w:val="Colorful Shading - Accent 3"/>
    <w:next w:val="Colorful Shading - Accent 3"/>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Medium Grid 1 - Accent 2">
    <w:name w:val="Medium Grid 1 - Accent 2"/>
    <w:next w:val="Medium Grid 1 - Accent 2"/>
    <w:pPr>
      <w:keepNext w:val="0"/>
      <w:keepLines w:val="0"/>
      <w:pageBreakBefore w:val="0"/>
      <w:widowControl w:val="1"/>
      <w:shd w:val="clear" w:color="auto" w:fill="auto"/>
      <w:suppressAutoHyphens w:val="0"/>
      <w:bidi w:val="0"/>
      <w:spacing w:before="0" w:after="160" w:line="256"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