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99B" w:rsidRPr="00436A5F" w:rsidRDefault="00C7399B" w:rsidP="00252329">
      <w:pPr>
        <w:jc w:val="center"/>
        <w:rPr>
          <w:rFonts w:ascii="Calibri" w:hAnsi="Calibri"/>
          <w:b/>
          <w:sz w:val="24"/>
          <w:szCs w:val="24"/>
        </w:rPr>
      </w:pPr>
      <w:r w:rsidRPr="00436A5F">
        <w:rPr>
          <w:rFonts w:ascii="Calibri" w:hAnsi="Calibri"/>
          <w:b/>
          <w:sz w:val="24"/>
          <w:szCs w:val="24"/>
        </w:rPr>
        <w:t>Financial Bid</w:t>
      </w:r>
    </w:p>
    <w:p w:rsidR="00C7399B" w:rsidRPr="00436A5F" w:rsidRDefault="00C7399B" w:rsidP="00C7399B">
      <w:pPr>
        <w:ind w:left="-1080"/>
        <w:jc w:val="center"/>
        <w:rPr>
          <w:rFonts w:ascii="Calibri" w:hAnsi="Calibri"/>
          <w:b/>
          <w:sz w:val="24"/>
          <w:szCs w:val="24"/>
          <w:u w:val="single"/>
        </w:rPr>
      </w:pPr>
      <w:r w:rsidRPr="00436A5F">
        <w:rPr>
          <w:rFonts w:ascii="Calibri" w:hAnsi="Calibri"/>
          <w:b/>
          <w:sz w:val="24"/>
          <w:szCs w:val="24"/>
        </w:rPr>
        <w:t>INDIVIDUAL CONSULTANT</w:t>
      </w:r>
      <w:r w:rsidR="00FB65AE" w:rsidRPr="00436A5F">
        <w:rPr>
          <w:rFonts w:ascii="Calibri" w:hAnsi="Calibri"/>
          <w:b/>
          <w:sz w:val="24"/>
          <w:szCs w:val="24"/>
        </w:rPr>
        <w:t xml:space="preserve"> </w:t>
      </w:r>
      <w:r w:rsidRPr="00436A5F">
        <w:rPr>
          <w:rFonts w:ascii="Calibri" w:hAnsi="Calibri"/>
          <w:b/>
          <w:sz w:val="24"/>
          <w:szCs w:val="24"/>
        </w:rPr>
        <w:t xml:space="preserve">FOR </w:t>
      </w:r>
      <w:r w:rsidR="00FB65AE" w:rsidRPr="00436A5F">
        <w:rPr>
          <w:rFonts w:ascii="Calibri" w:hAnsi="Calibri"/>
          <w:b/>
          <w:sz w:val="24"/>
          <w:szCs w:val="24"/>
        </w:rPr>
        <w:t xml:space="preserve">STATE </w:t>
      </w:r>
      <w:r w:rsidR="00BC4841">
        <w:rPr>
          <w:rFonts w:ascii="Calibri" w:hAnsi="Calibri"/>
          <w:b/>
          <w:sz w:val="24"/>
          <w:szCs w:val="24"/>
        </w:rPr>
        <w:t>S</w:t>
      </w:r>
      <w:r w:rsidR="00FB65AE" w:rsidRPr="00436A5F">
        <w:rPr>
          <w:rFonts w:ascii="Calibri" w:hAnsi="Calibri"/>
          <w:b/>
          <w:sz w:val="24"/>
          <w:szCs w:val="24"/>
        </w:rPr>
        <w:t>BCC</w:t>
      </w:r>
      <w:r w:rsidR="00833D89" w:rsidRPr="00436A5F">
        <w:rPr>
          <w:rFonts w:ascii="Calibri" w:hAnsi="Calibri"/>
          <w:b/>
          <w:sz w:val="24"/>
          <w:szCs w:val="24"/>
        </w:rPr>
        <w:t xml:space="preserve"> CONSULTANT</w:t>
      </w:r>
      <w:r w:rsidR="00FB3A3B" w:rsidRPr="00436A5F">
        <w:rPr>
          <w:rFonts w:ascii="Calibri" w:hAnsi="Calibri"/>
          <w:b/>
          <w:sz w:val="24"/>
          <w:szCs w:val="24"/>
        </w:rPr>
        <w:t xml:space="preserve">- </w:t>
      </w:r>
      <w:r w:rsidR="00BC4841">
        <w:rPr>
          <w:rFonts w:ascii="Calibri" w:hAnsi="Calibri"/>
          <w:b/>
          <w:sz w:val="24"/>
          <w:szCs w:val="24"/>
        </w:rPr>
        <w:t>CSD</w:t>
      </w:r>
      <w:r w:rsidR="00357265">
        <w:rPr>
          <w:rFonts w:ascii="Calibri" w:hAnsi="Calibri"/>
          <w:b/>
          <w:sz w:val="24"/>
          <w:szCs w:val="24"/>
        </w:rPr>
        <w:t xml:space="preserve"> </w:t>
      </w:r>
      <w:r w:rsidR="00BC4841">
        <w:rPr>
          <w:rFonts w:ascii="Calibri" w:hAnsi="Calibri"/>
          <w:b/>
          <w:sz w:val="24"/>
          <w:szCs w:val="24"/>
        </w:rPr>
        <w:t xml:space="preserve">March </w:t>
      </w:r>
      <w:r w:rsidR="00B835F0">
        <w:rPr>
          <w:rFonts w:ascii="Calibri" w:hAnsi="Calibri"/>
          <w:b/>
          <w:sz w:val="24"/>
          <w:szCs w:val="24"/>
        </w:rPr>
        <w:t>201</w:t>
      </w:r>
      <w:r w:rsidR="00BC4841">
        <w:rPr>
          <w:rFonts w:ascii="Calibri" w:hAnsi="Calibri"/>
          <w:b/>
          <w:sz w:val="24"/>
          <w:szCs w:val="24"/>
        </w:rPr>
        <w:t>7-</w:t>
      </w:r>
      <w:r w:rsidR="00B835F0">
        <w:rPr>
          <w:rFonts w:ascii="Calibri" w:hAnsi="Calibri"/>
          <w:b/>
          <w:sz w:val="24"/>
          <w:szCs w:val="24"/>
        </w:rPr>
        <w:t xml:space="preserve"> Dec</w:t>
      </w:r>
      <w:r w:rsidR="00252329">
        <w:rPr>
          <w:rFonts w:ascii="Calibri" w:hAnsi="Calibri"/>
          <w:b/>
          <w:sz w:val="24"/>
          <w:szCs w:val="24"/>
        </w:rPr>
        <w:t xml:space="preserve"> </w:t>
      </w:r>
      <w:r w:rsidR="00B835F0">
        <w:rPr>
          <w:rFonts w:ascii="Calibri" w:hAnsi="Calibri"/>
          <w:b/>
          <w:sz w:val="24"/>
          <w:szCs w:val="24"/>
        </w:rPr>
        <w:t>2017</w:t>
      </w:r>
    </w:p>
    <w:p w:rsidR="00C7399B" w:rsidRPr="00436A5F" w:rsidRDefault="00C7399B" w:rsidP="00C7399B">
      <w:pPr>
        <w:ind w:left="-1080"/>
        <w:jc w:val="center"/>
        <w:rPr>
          <w:rFonts w:ascii="Calibri" w:hAnsi="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781"/>
        <w:gridCol w:w="3241"/>
        <w:gridCol w:w="1376"/>
        <w:gridCol w:w="2015"/>
        <w:gridCol w:w="1376"/>
        <w:gridCol w:w="1806"/>
      </w:tblGrid>
      <w:tr w:rsidR="008873CC" w:rsidRPr="00252329" w:rsidTr="00252329">
        <w:trPr>
          <w:trHeight w:val="269"/>
        </w:trPr>
        <w:tc>
          <w:tcPr>
            <w:tcW w:w="189" w:type="pct"/>
          </w:tcPr>
          <w:p w:rsidR="00327CE8" w:rsidRPr="00252329" w:rsidRDefault="00327CE8" w:rsidP="00252329">
            <w:pPr>
              <w:widowControl w:val="0"/>
              <w:contextualSpacing/>
              <w:jc w:val="center"/>
              <w:rPr>
                <w:rFonts w:ascii="Palatino Linotype" w:hAnsi="Palatino Linotype"/>
                <w:sz w:val="22"/>
                <w:szCs w:val="22"/>
              </w:rPr>
            </w:pPr>
          </w:p>
        </w:tc>
        <w:tc>
          <w:tcPr>
            <w:tcW w:w="1338" w:type="pct"/>
          </w:tcPr>
          <w:p w:rsidR="00327CE8" w:rsidRPr="00252329" w:rsidRDefault="00E34262" w:rsidP="00252329">
            <w:pPr>
              <w:widowControl w:val="0"/>
              <w:contextualSpacing/>
              <w:jc w:val="center"/>
              <w:rPr>
                <w:rFonts w:ascii="Palatino Linotype" w:hAnsi="Palatino Linotype"/>
                <w:b/>
                <w:sz w:val="22"/>
                <w:szCs w:val="22"/>
              </w:rPr>
            </w:pPr>
            <w:r w:rsidRPr="00252329">
              <w:rPr>
                <w:rFonts w:ascii="Palatino Linotype" w:hAnsi="Palatino Linotype"/>
                <w:b/>
                <w:sz w:val="22"/>
                <w:szCs w:val="22"/>
              </w:rPr>
              <w:t xml:space="preserve">Major Tasks </w:t>
            </w:r>
          </w:p>
          <w:p w:rsidR="00436A5F" w:rsidRPr="00252329" w:rsidRDefault="00436A5F" w:rsidP="00252329">
            <w:pPr>
              <w:widowControl w:val="0"/>
              <w:contextualSpacing/>
              <w:jc w:val="center"/>
              <w:rPr>
                <w:rFonts w:ascii="Palatino Linotype" w:hAnsi="Palatino Linotype"/>
                <w:b/>
                <w:sz w:val="22"/>
                <w:szCs w:val="22"/>
              </w:rPr>
            </w:pPr>
          </w:p>
        </w:tc>
        <w:tc>
          <w:tcPr>
            <w:tcW w:w="1147" w:type="pct"/>
            <w:vMerge w:val="restart"/>
          </w:tcPr>
          <w:p w:rsidR="00327CE8" w:rsidRPr="00252329" w:rsidRDefault="00327CE8" w:rsidP="00252329">
            <w:pPr>
              <w:widowControl w:val="0"/>
              <w:contextualSpacing/>
              <w:jc w:val="center"/>
              <w:rPr>
                <w:rFonts w:ascii="Palatino Linotype" w:hAnsi="Palatino Linotype"/>
                <w:b/>
                <w:sz w:val="22"/>
                <w:szCs w:val="22"/>
              </w:rPr>
            </w:pPr>
            <w:r w:rsidRPr="00252329">
              <w:rPr>
                <w:rFonts w:ascii="Palatino Linotype" w:hAnsi="Palatino Linotype"/>
                <w:b/>
                <w:sz w:val="22"/>
                <w:szCs w:val="22"/>
              </w:rPr>
              <w:t>Deliverable (s)</w:t>
            </w:r>
          </w:p>
          <w:p w:rsidR="00436A5F" w:rsidRPr="00252329" w:rsidRDefault="00436A5F" w:rsidP="00252329">
            <w:pPr>
              <w:widowControl w:val="0"/>
              <w:contextualSpacing/>
              <w:jc w:val="center"/>
              <w:rPr>
                <w:rFonts w:ascii="Palatino Linotype" w:hAnsi="Palatino Linotype"/>
                <w:b/>
                <w:sz w:val="22"/>
                <w:szCs w:val="22"/>
              </w:rPr>
            </w:pPr>
          </w:p>
        </w:tc>
        <w:tc>
          <w:tcPr>
            <w:tcW w:w="1200" w:type="pct"/>
            <w:gridSpan w:val="2"/>
            <w:tcBorders>
              <w:bottom w:val="single" w:sz="4" w:space="0" w:color="auto"/>
            </w:tcBorders>
          </w:tcPr>
          <w:p w:rsidR="00327CE8" w:rsidRPr="00252329" w:rsidRDefault="00327CE8" w:rsidP="00252329">
            <w:pPr>
              <w:widowControl w:val="0"/>
              <w:contextualSpacing/>
              <w:jc w:val="center"/>
              <w:rPr>
                <w:rFonts w:ascii="Palatino Linotype" w:hAnsi="Palatino Linotype"/>
                <w:b/>
                <w:sz w:val="22"/>
                <w:szCs w:val="22"/>
              </w:rPr>
            </w:pPr>
            <w:r w:rsidRPr="00252329">
              <w:rPr>
                <w:rFonts w:ascii="Palatino Linotype" w:hAnsi="Palatino Linotype"/>
                <w:b/>
                <w:sz w:val="22"/>
                <w:szCs w:val="22"/>
              </w:rPr>
              <w:t>UNICEF Estimate</w:t>
            </w:r>
          </w:p>
        </w:tc>
        <w:tc>
          <w:tcPr>
            <w:tcW w:w="1126" w:type="pct"/>
            <w:gridSpan w:val="2"/>
            <w:tcBorders>
              <w:bottom w:val="single" w:sz="4" w:space="0" w:color="auto"/>
            </w:tcBorders>
          </w:tcPr>
          <w:p w:rsidR="00327CE8" w:rsidRPr="00252329" w:rsidRDefault="00327CE8" w:rsidP="00252329">
            <w:pPr>
              <w:widowControl w:val="0"/>
              <w:contextualSpacing/>
              <w:jc w:val="center"/>
              <w:rPr>
                <w:rFonts w:ascii="Palatino Linotype" w:hAnsi="Palatino Linotype"/>
                <w:b/>
                <w:sz w:val="22"/>
                <w:szCs w:val="22"/>
              </w:rPr>
            </w:pPr>
            <w:r w:rsidRPr="00252329">
              <w:rPr>
                <w:rFonts w:ascii="Palatino Linotype" w:hAnsi="Palatino Linotype"/>
                <w:b/>
                <w:sz w:val="22"/>
                <w:szCs w:val="22"/>
              </w:rPr>
              <w:t>Consultant's Proposal</w:t>
            </w:r>
          </w:p>
        </w:tc>
      </w:tr>
      <w:tr w:rsidR="008873CC" w:rsidRPr="00252329" w:rsidTr="00252329">
        <w:trPr>
          <w:trHeight w:val="269"/>
        </w:trPr>
        <w:tc>
          <w:tcPr>
            <w:tcW w:w="189" w:type="pct"/>
            <w:tcBorders>
              <w:bottom w:val="single" w:sz="4" w:space="0" w:color="auto"/>
            </w:tcBorders>
          </w:tcPr>
          <w:p w:rsidR="00327CE8" w:rsidRPr="00252329" w:rsidRDefault="00327CE8" w:rsidP="00252329">
            <w:pPr>
              <w:widowControl w:val="0"/>
              <w:contextualSpacing/>
              <w:jc w:val="center"/>
              <w:rPr>
                <w:rFonts w:ascii="Palatino Linotype" w:hAnsi="Palatino Linotype"/>
                <w:sz w:val="22"/>
                <w:szCs w:val="22"/>
              </w:rPr>
            </w:pPr>
          </w:p>
        </w:tc>
        <w:tc>
          <w:tcPr>
            <w:tcW w:w="1338" w:type="pct"/>
            <w:tcBorders>
              <w:bottom w:val="single" w:sz="4" w:space="0" w:color="auto"/>
            </w:tcBorders>
          </w:tcPr>
          <w:p w:rsidR="00327CE8" w:rsidRPr="00252329" w:rsidRDefault="00327CE8" w:rsidP="00252329">
            <w:pPr>
              <w:widowControl w:val="0"/>
              <w:contextualSpacing/>
              <w:jc w:val="center"/>
              <w:rPr>
                <w:rFonts w:ascii="Palatino Linotype" w:hAnsi="Palatino Linotype"/>
                <w:b/>
                <w:sz w:val="22"/>
                <w:szCs w:val="22"/>
              </w:rPr>
            </w:pPr>
          </w:p>
        </w:tc>
        <w:tc>
          <w:tcPr>
            <w:tcW w:w="1147" w:type="pct"/>
            <w:vMerge/>
            <w:tcBorders>
              <w:bottom w:val="single" w:sz="4" w:space="0" w:color="auto"/>
            </w:tcBorders>
          </w:tcPr>
          <w:p w:rsidR="00327CE8" w:rsidRPr="00252329" w:rsidRDefault="00327CE8" w:rsidP="00252329">
            <w:pPr>
              <w:widowControl w:val="0"/>
              <w:contextualSpacing/>
              <w:jc w:val="center"/>
              <w:rPr>
                <w:rFonts w:ascii="Palatino Linotype" w:hAnsi="Palatino Linotype"/>
                <w:b/>
                <w:sz w:val="22"/>
                <w:szCs w:val="22"/>
              </w:rPr>
            </w:pPr>
          </w:p>
        </w:tc>
        <w:tc>
          <w:tcPr>
            <w:tcW w:w="487" w:type="pct"/>
            <w:tcBorders>
              <w:bottom w:val="single" w:sz="4" w:space="0" w:color="auto"/>
            </w:tcBorders>
          </w:tcPr>
          <w:p w:rsidR="00327CE8" w:rsidRPr="00252329" w:rsidRDefault="00327CE8" w:rsidP="00252329">
            <w:pPr>
              <w:widowControl w:val="0"/>
              <w:contextualSpacing/>
              <w:jc w:val="center"/>
              <w:rPr>
                <w:rFonts w:ascii="Palatino Linotype" w:hAnsi="Palatino Linotype"/>
                <w:b/>
                <w:sz w:val="22"/>
                <w:szCs w:val="22"/>
              </w:rPr>
            </w:pPr>
            <w:r w:rsidRPr="00252329">
              <w:rPr>
                <w:rFonts w:ascii="Palatino Linotype" w:hAnsi="Palatino Linotype"/>
                <w:b/>
                <w:sz w:val="22"/>
                <w:szCs w:val="22"/>
              </w:rPr>
              <w:t xml:space="preserve">Estimated deadline for </w:t>
            </w:r>
            <w:r w:rsidR="00094BC1" w:rsidRPr="00252329">
              <w:rPr>
                <w:rFonts w:ascii="Palatino Linotype" w:hAnsi="Palatino Linotype"/>
                <w:b/>
                <w:sz w:val="22"/>
                <w:szCs w:val="22"/>
              </w:rPr>
              <w:t>completion</w:t>
            </w:r>
            <w:r w:rsidRPr="00252329">
              <w:rPr>
                <w:rFonts w:ascii="Palatino Linotype" w:hAnsi="Palatino Linotype"/>
                <w:b/>
                <w:sz w:val="22"/>
                <w:szCs w:val="22"/>
              </w:rPr>
              <w:t xml:space="preserve"> of deliverable </w:t>
            </w:r>
          </w:p>
        </w:tc>
        <w:tc>
          <w:tcPr>
            <w:tcW w:w="713" w:type="pct"/>
            <w:tcBorders>
              <w:bottom w:val="single" w:sz="4" w:space="0" w:color="auto"/>
            </w:tcBorders>
          </w:tcPr>
          <w:p w:rsidR="00327CE8" w:rsidRPr="00252329" w:rsidRDefault="00327CE8" w:rsidP="00252329">
            <w:pPr>
              <w:widowControl w:val="0"/>
              <w:contextualSpacing/>
              <w:rPr>
                <w:rFonts w:ascii="Palatino Linotype" w:hAnsi="Palatino Linotype"/>
                <w:b/>
                <w:sz w:val="22"/>
                <w:szCs w:val="22"/>
              </w:rPr>
            </w:pPr>
            <w:r w:rsidRPr="00252329">
              <w:rPr>
                <w:rFonts w:ascii="Palatino Linotype" w:hAnsi="Palatino Linotype"/>
                <w:b/>
                <w:sz w:val="22"/>
                <w:szCs w:val="22"/>
              </w:rPr>
              <w:t>Estimated travel required for completion of deliverable (please mention number of days)</w:t>
            </w:r>
          </w:p>
        </w:tc>
        <w:tc>
          <w:tcPr>
            <w:tcW w:w="487" w:type="pct"/>
            <w:tcBorders>
              <w:bottom w:val="single" w:sz="4" w:space="0" w:color="auto"/>
            </w:tcBorders>
          </w:tcPr>
          <w:p w:rsidR="00327CE8" w:rsidRPr="00252329" w:rsidRDefault="00327CE8" w:rsidP="00252329">
            <w:pPr>
              <w:widowControl w:val="0"/>
              <w:contextualSpacing/>
              <w:jc w:val="center"/>
              <w:rPr>
                <w:rFonts w:ascii="Palatino Linotype" w:hAnsi="Palatino Linotype"/>
                <w:b/>
                <w:sz w:val="22"/>
                <w:szCs w:val="22"/>
              </w:rPr>
            </w:pPr>
            <w:r w:rsidRPr="00252329">
              <w:rPr>
                <w:rFonts w:ascii="Palatino Linotype" w:hAnsi="Palatino Linotype"/>
                <w:b/>
                <w:sz w:val="22"/>
                <w:szCs w:val="22"/>
              </w:rPr>
              <w:t>Complete timeframe for deliverable</w:t>
            </w:r>
          </w:p>
        </w:tc>
        <w:tc>
          <w:tcPr>
            <w:tcW w:w="638" w:type="pct"/>
            <w:tcBorders>
              <w:bottom w:val="single" w:sz="4" w:space="0" w:color="auto"/>
            </w:tcBorders>
          </w:tcPr>
          <w:p w:rsidR="00327CE8" w:rsidRPr="00252329" w:rsidRDefault="00327CE8" w:rsidP="00252329">
            <w:pPr>
              <w:widowControl w:val="0"/>
              <w:contextualSpacing/>
              <w:jc w:val="center"/>
              <w:rPr>
                <w:rFonts w:ascii="Palatino Linotype" w:hAnsi="Palatino Linotype"/>
                <w:b/>
                <w:sz w:val="22"/>
                <w:szCs w:val="22"/>
              </w:rPr>
            </w:pPr>
            <w:r w:rsidRPr="00252329">
              <w:rPr>
                <w:rFonts w:ascii="Palatino Linotype" w:hAnsi="Palatino Linotype"/>
                <w:b/>
                <w:sz w:val="22"/>
                <w:szCs w:val="22"/>
              </w:rPr>
              <w:t>Cost (INR)</w:t>
            </w:r>
          </w:p>
          <w:p w:rsidR="00327CE8" w:rsidRPr="00252329" w:rsidRDefault="00327CE8" w:rsidP="00252329">
            <w:pPr>
              <w:widowControl w:val="0"/>
              <w:contextualSpacing/>
              <w:jc w:val="center"/>
              <w:rPr>
                <w:rFonts w:ascii="Palatino Linotype" w:hAnsi="Palatino Linotype"/>
                <w:b/>
                <w:sz w:val="22"/>
                <w:szCs w:val="22"/>
              </w:rPr>
            </w:pPr>
            <w:r w:rsidRPr="00252329">
              <w:rPr>
                <w:rFonts w:ascii="Palatino Linotype" w:hAnsi="Palatino Linotype"/>
                <w:b/>
                <w:sz w:val="22"/>
                <w:szCs w:val="22"/>
              </w:rPr>
              <w:t>(</w:t>
            </w:r>
            <w:proofErr w:type="spellStart"/>
            <w:r w:rsidRPr="00252329">
              <w:rPr>
                <w:rFonts w:ascii="Palatino Linotype" w:hAnsi="Palatino Linotype"/>
                <w:b/>
                <w:sz w:val="22"/>
                <w:szCs w:val="22"/>
              </w:rPr>
              <w:t>All inclusive</w:t>
            </w:r>
            <w:proofErr w:type="spellEnd"/>
            <w:r w:rsidRPr="00252329">
              <w:rPr>
                <w:rFonts w:ascii="Palatino Linotype" w:hAnsi="Palatino Linotype"/>
                <w:b/>
                <w:sz w:val="22"/>
                <w:szCs w:val="22"/>
              </w:rPr>
              <w:t xml:space="preserve"> i.e. professional fee, travel, DSA, communication, etc.)</w:t>
            </w:r>
          </w:p>
        </w:tc>
      </w:tr>
      <w:tr w:rsidR="00B835F0" w:rsidRPr="00252329" w:rsidTr="00252329">
        <w:trPr>
          <w:trHeight w:val="1250"/>
        </w:trPr>
        <w:tc>
          <w:tcPr>
            <w:tcW w:w="189" w:type="pct"/>
            <w:tcBorders>
              <w:bottom w:val="single" w:sz="4" w:space="0" w:color="auto"/>
            </w:tcBorders>
          </w:tcPr>
          <w:p w:rsidR="00B835F0" w:rsidRPr="00252329" w:rsidRDefault="00B835F0" w:rsidP="00252329">
            <w:pPr>
              <w:widowControl w:val="0"/>
              <w:contextualSpacing/>
              <w:jc w:val="center"/>
              <w:rPr>
                <w:rFonts w:ascii="Palatino Linotype" w:hAnsi="Palatino Linotype"/>
                <w:sz w:val="22"/>
                <w:szCs w:val="22"/>
              </w:rPr>
            </w:pPr>
          </w:p>
        </w:tc>
        <w:tc>
          <w:tcPr>
            <w:tcW w:w="1338" w:type="pct"/>
            <w:tcBorders>
              <w:top w:val="single" w:sz="4" w:space="0" w:color="auto"/>
              <w:left w:val="single" w:sz="4" w:space="0" w:color="auto"/>
              <w:bottom w:val="single" w:sz="4" w:space="0" w:color="auto"/>
              <w:right w:val="single" w:sz="4" w:space="0" w:color="auto"/>
            </w:tcBorders>
            <w:shd w:val="clear" w:color="auto" w:fill="auto"/>
            <w:vAlign w:val="bottom"/>
          </w:tcPr>
          <w:p w:rsidR="00B835F0" w:rsidRDefault="00BC4841" w:rsidP="00252329">
            <w:pPr>
              <w:widowControl w:val="0"/>
              <w:contextualSpacing/>
              <w:rPr>
                <w:rFonts w:ascii="Palatino Linotype" w:hAnsi="Palatino Linotype"/>
                <w:color w:val="000000"/>
                <w:sz w:val="22"/>
                <w:szCs w:val="22"/>
              </w:rPr>
            </w:pPr>
            <w:r w:rsidRPr="00252329">
              <w:rPr>
                <w:rFonts w:ascii="Palatino Linotype" w:hAnsi="Palatino Linotype"/>
                <w:color w:val="000000"/>
                <w:sz w:val="22"/>
                <w:szCs w:val="22"/>
              </w:rPr>
              <w:t>Coordination of 5 district level SBCC planning workshops across tribal districts</w:t>
            </w:r>
          </w:p>
          <w:p w:rsidR="00252329" w:rsidRDefault="00252329" w:rsidP="00252329">
            <w:pPr>
              <w:widowControl w:val="0"/>
              <w:contextualSpacing/>
              <w:rPr>
                <w:rFonts w:ascii="Palatino Linotype" w:hAnsi="Palatino Linotype"/>
                <w:color w:val="000000"/>
                <w:sz w:val="22"/>
                <w:szCs w:val="22"/>
              </w:rPr>
            </w:pPr>
          </w:p>
          <w:p w:rsidR="00252329" w:rsidRPr="00252329" w:rsidRDefault="00252329" w:rsidP="00252329">
            <w:pPr>
              <w:widowControl w:val="0"/>
              <w:contextualSpacing/>
              <w:rPr>
                <w:rFonts w:ascii="Palatino Linotype" w:hAnsi="Palatino Linotype"/>
                <w:color w:val="000000"/>
                <w:sz w:val="22"/>
                <w:szCs w:val="22"/>
              </w:rPr>
            </w:pPr>
          </w:p>
        </w:tc>
        <w:tc>
          <w:tcPr>
            <w:tcW w:w="1147" w:type="pct"/>
            <w:tcBorders>
              <w:top w:val="single" w:sz="4" w:space="0" w:color="auto"/>
              <w:left w:val="nil"/>
              <w:bottom w:val="single" w:sz="4" w:space="0" w:color="auto"/>
              <w:right w:val="single" w:sz="4" w:space="0" w:color="auto"/>
            </w:tcBorders>
            <w:shd w:val="clear" w:color="auto" w:fill="auto"/>
            <w:vAlign w:val="bottom"/>
          </w:tcPr>
          <w:p w:rsidR="00B835F0" w:rsidRPr="00252329" w:rsidRDefault="00BC4841" w:rsidP="00252329">
            <w:pPr>
              <w:widowControl w:val="0"/>
              <w:contextualSpacing/>
              <w:rPr>
                <w:rFonts w:ascii="Palatino Linotype" w:hAnsi="Palatino Linotype"/>
                <w:color w:val="000000"/>
                <w:sz w:val="22"/>
                <w:szCs w:val="22"/>
              </w:rPr>
            </w:pPr>
            <w:r w:rsidRPr="00252329">
              <w:rPr>
                <w:rFonts w:ascii="Palatino Linotype" w:hAnsi="Palatino Linotype" w:cs="Calibri"/>
                <w:sz w:val="22"/>
                <w:szCs w:val="22"/>
              </w:rPr>
              <w:t>SBCC planning workshop document with workshop agenda, participant list and   5 Agreed District implementation plans</w:t>
            </w:r>
          </w:p>
        </w:tc>
        <w:tc>
          <w:tcPr>
            <w:tcW w:w="487" w:type="pct"/>
            <w:tcBorders>
              <w:bottom w:val="single" w:sz="4" w:space="0" w:color="auto"/>
            </w:tcBorders>
          </w:tcPr>
          <w:p w:rsidR="00B835F0" w:rsidRPr="00252329" w:rsidRDefault="00BC4841" w:rsidP="00252329">
            <w:pPr>
              <w:widowControl w:val="0"/>
              <w:contextualSpacing/>
              <w:rPr>
                <w:rFonts w:ascii="Palatino Linotype" w:hAnsi="Palatino Linotype"/>
                <w:sz w:val="22"/>
                <w:szCs w:val="22"/>
              </w:rPr>
            </w:pPr>
            <w:r w:rsidRPr="00252329">
              <w:rPr>
                <w:rFonts w:ascii="Palatino Linotype" w:hAnsi="Palatino Linotype"/>
                <w:sz w:val="22"/>
                <w:szCs w:val="22"/>
              </w:rPr>
              <w:t>quarter 1</w:t>
            </w:r>
          </w:p>
        </w:tc>
        <w:tc>
          <w:tcPr>
            <w:tcW w:w="713" w:type="pct"/>
            <w:tcBorders>
              <w:bottom w:val="single" w:sz="4" w:space="0" w:color="auto"/>
            </w:tcBorders>
          </w:tcPr>
          <w:p w:rsidR="00B835F0" w:rsidRPr="00252329" w:rsidRDefault="008A1CCD" w:rsidP="00252329">
            <w:pPr>
              <w:widowControl w:val="0"/>
              <w:contextualSpacing/>
              <w:rPr>
                <w:rFonts w:ascii="Palatino Linotype" w:hAnsi="Palatino Linotype"/>
                <w:sz w:val="22"/>
                <w:szCs w:val="22"/>
              </w:rPr>
            </w:pPr>
            <w:r w:rsidRPr="00252329">
              <w:rPr>
                <w:rFonts w:ascii="Palatino Linotype" w:hAnsi="Palatino Linotype"/>
                <w:sz w:val="22"/>
                <w:szCs w:val="22"/>
              </w:rPr>
              <w:t>25 days</w:t>
            </w:r>
          </w:p>
        </w:tc>
        <w:tc>
          <w:tcPr>
            <w:tcW w:w="487" w:type="pct"/>
            <w:tcBorders>
              <w:bottom w:val="single" w:sz="4" w:space="0" w:color="auto"/>
            </w:tcBorders>
          </w:tcPr>
          <w:p w:rsidR="00B835F0" w:rsidRPr="00252329" w:rsidRDefault="00B835F0" w:rsidP="00252329">
            <w:pPr>
              <w:widowControl w:val="0"/>
              <w:contextualSpacing/>
              <w:jc w:val="center"/>
              <w:rPr>
                <w:rFonts w:ascii="Palatino Linotype" w:hAnsi="Palatino Linotype"/>
                <w:b/>
                <w:sz w:val="22"/>
                <w:szCs w:val="22"/>
              </w:rPr>
            </w:pPr>
          </w:p>
        </w:tc>
        <w:tc>
          <w:tcPr>
            <w:tcW w:w="638" w:type="pct"/>
            <w:tcBorders>
              <w:bottom w:val="single" w:sz="4" w:space="0" w:color="auto"/>
            </w:tcBorders>
          </w:tcPr>
          <w:p w:rsidR="00B835F0" w:rsidRPr="00252329" w:rsidRDefault="00B835F0" w:rsidP="00252329">
            <w:pPr>
              <w:widowControl w:val="0"/>
              <w:contextualSpacing/>
              <w:jc w:val="center"/>
              <w:rPr>
                <w:rFonts w:ascii="Palatino Linotype" w:hAnsi="Palatino Linotype"/>
                <w:b/>
                <w:sz w:val="22"/>
                <w:szCs w:val="22"/>
              </w:rPr>
            </w:pPr>
          </w:p>
        </w:tc>
      </w:tr>
      <w:tr w:rsidR="00252329" w:rsidRPr="00252329" w:rsidTr="00252329">
        <w:trPr>
          <w:trHeight w:val="1673"/>
        </w:trPr>
        <w:tc>
          <w:tcPr>
            <w:tcW w:w="189" w:type="pct"/>
            <w:tcBorders>
              <w:bottom w:val="single" w:sz="4" w:space="0" w:color="auto"/>
            </w:tcBorders>
          </w:tcPr>
          <w:p w:rsidR="00B835F0" w:rsidRPr="00252329" w:rsidRDefault="00B835F0" w:rsidP="00252329">
            <w:pPr>
              <w:widowControl w:val="0"/>
              <w:contextualSpacing/>
              <w:rPr>
                <w:rFonts w:ascii="Palatino Linotype" w:hAnsi="Palatino Linotype"/>
                <w:sz w:val="22"/>
                <w:szCs w:val="22"/>
              </w:rPr>
            </w:pPr>
          </w:p>
        </w:tc>
        <w:tc>
          <w:tcPr>
            <w:tcW w:w="1338" w:type="pct"/>
            <w:tcBorders>
              <w:top w:val="single" w:sz="4" w:space="0" w:color="auto"/>
              <w:left w:val="single" w:sz="4" w:space="0" w:color="auto"/>
              <w:bottom w:val="single" w:sz="4" w:space="0" w:color="auto"/>
              <w:right w:val="single" w:sz="4" w:space="0" w:color="auto"/>
            </w:tcBorders>
            <w:shd w:val="clear" w:color="auto" w:fill="auto"/>
            <w:vAlign w:val="center"/>
          </w:tcPr>
          <w:p w:rsidR="00BC4841" w:rsidRPr="00252329" w:rsidRDefault="00B835F0" w:rsidP="00252329">
            <w:pPr>
              <w:widowControl w:val="0"/>
              <w:contextualSpacing/>
              <w:rPr>
                <w:rFonts w:ascii="Palatino Linotype" w:hAnsi="Palatino Linotype" w:cs="Calibri"/>
                <w:sz w:val="22"/>
                <w:szCs w:val="22"/>
              </w:rPr>
            </w:pPr>
            <w:r w:rsidRPr="00252329">
              <w:rPr>
                <w:rFonts w:ascii="Palatino Linotype" w:hAnsi="Palatino Linotype"/>
                <w:color w:val="000000"/>
                <w:sz w:val="22"/>
                <w:szCs w:val="22"/>
              </w:rPr>
              <w:t xml:space="preserve"> </w:t>
            </w:r>
            <w:r w:rsidR="00BC4841" w:rsidRPr="00252329">
              <w:rPr>
                <w:rFonts w:ascii="Palatino Linotype" w:hAnsi="Palatino Linotype" w:cs="Calibri"/>
                <w:sz w:val="22"/>
                <w:szCs w:val="22"/>
              </w:rPr>
              <w:t>Participation and recommendation in quarterly review meetings  for SBCC Task force at district level across 5 districts</w:t>
            </w:r>
          </w:p>
          <w:p w:rsidR="00B835F0" w:rsidRPr="00252329" w:rsidRDefault="00B835F0" w:rsidP="00252329">
            <w:pPr>
              <w:widowControl w:val="0"/>
              <w:contextualSpacing/>
              <w:rPr>
                <w:rFonts w:ascii="Palatino Linotype" w:hAnsi="Palatino Linotype"/>
                <w:color w:val="000000"/>
                <w:sz w:val="22"/>
                <w:szCs w:val="22"/>
              </w:rPr>
            </w:pPr>
          </w:p>
        </w:tc>
        <w:tc>
          <w:tcPr>
            <w:tcW w:w="1147" w:type="pct"/>
            <w:tcBorders>
              <w:top w:val="single" w:sz="4" w:space="0" w:color="auto"/>
              <w:left w:val="nil"/>
              <w:bottom w:val="single" w:sz="4" w:space="0" w:color="auto"/>
              <w:right w:val="single" w:sz="4" w:space="0" w:color="auto"/>
            </w:tcBorders>
            <w:shd w:val="clear" w:color="auto" w:fill="auto"/>
            <w:vAlign w:val="center"/>
          </w:tcPr>
          <w:p w:rsidR="00B835F0" w:rsidRPr="00252329" w:rsidRDefault="00252329" w:rsidP="00252329">
            <w:pPr>
              <w:widowControl w:val="0"/>
              <w:contextualSpacing/>
              <w:rPr>
                <w:rFonts w:ascii="Palatino Linotype" w:hAnsi="Palatino Linotype"/>
                <w:color w:val="000000"/>
                <w:sz w:val="22"/>
                <w:szCs w:val="22"/>
              </w:rPr>
            </w:pPr>
            <w:r w:rsidRPr="00252329">
              <w:rPr>
                <w:rFonts w:ascii="Palatino Linotype" w:hAnsi="Palatino Linotype"/>
                <w:color w:val="000000"/>
                <w:sz w:val="22"/>
                <w:szCs w:val="22"/>
              </w:rPr>
              <w:t>Quarterly district SBCC review reports1,2,3 including minutes of the meeting and key recommendations across 5 districts ; one in each quarter</w:t>
            </w:r>
          </w:p>
        </w:tc>
        <w:tc>
          <w:tcPr>
            <w:tcW w:w="487" w:type="pct"/>
            <w:tcBorders>
              <w:bottom w:val="single" w:sz="4" w:space="0" w:color="auto"/>
            </w:tcBorders>
            <w:shd w:val="clear" w:color="auto" w:fill="FFFFFF"/>
          </w:tcPr>
          <w:p w:rsidR="00B835F0" w:rsidRPr="00252329" w:rsidRDefault="00BC4841" w:rsidP="00252329">
            <w:pPr>
              <w:widowControl w:val="0"/>
              <w:contextualSpacing/>
              <w:rPr>
                <w:rFonts w:ascii="Palatino Linotype" w:hAnsi="Palatino Linotype"/>
                <w:sz w:val="22"/>
                <w:szCs w:val="22"/>
              </w:rPr>
            </w:pPr>
            <w:r w:rsidRPr="00252329">
              <w:rPr>
                <w:rFonts w:ascii="Palatino Linotype" w:hAnsi="Palatino Linotype"/>
                <w:sz w:val="22"/>
                <w:szCs w:val="22"/>
              </w:rPr>
              <w:t xml:space="preserve">Quarter 1.2.3 </w:t>
            </w:r>
          </w:p>
        </w:tc>
        <w:tc>
          <w:tcPr>
            <w:tcW w:w="713" w:type="pct"/>
            <w:tcBorders>
              <w:bottom w:val="single" w:sz="4" w:space="0" w:color="auto"/>
            </w:tcBorders>
            <w:shd w:val="clear" w:color="auto" w:fill="auto"/>
          </w:tcPr>
          <w:p w:rsidR="00B835F0" w:rsidRPr="00252329" w:rsidRDefault="008A1CCD" w:rsidP="00252329">
            <w:pPr>
              <w:widowControl w:val="0"/>
              <w:contextualSpacing/>
              <w:rPr>
                <w:rFonts w:ascii="Palatino Linotype" w:hAnsi="Palatino Linotype"/>
                <w:sz w:val="22"/>
                <w:szCs w:val="22"/>
                <w:lang w:val="en-AU"/>
              </w:rPr>
            </w:pPr>
            <w:r w:rsidRPr="00252329">
              <w:rPr>
                <w:rFonts w:ascii="Palatino Linotype" w:hAnsi="Palatino Linotype"/>
                <w:sz w:val="22"/>
                <w:szCs w:val="22"/>
                <w:lang w:val="en-AU"/>
              </w:rPr>
              <w:t>15 days</w:t>
            </w:r>
          </w:p>
        </w:tc>
        <w:tc>
          <w:tcPr>
            <w:tcW w:w="487" w:type="pct"/>
            <w:tcBorders>
              <w:bottom w:val="single" w:sz="4" w:space="0" w:color="auto"/>
            </w:tcBorders>
            <w:shd w:val="clear" w:color="auto" w:fill="FBD4B4"/>
          </w:tcPr>
          <w:p w:rsidR="00B835F0" w:rsidRPr="00252329" w:rsidRDefault="00B835F0" w:rsidP="00252329">
            <w:pPr>
              <w:widowControl w:val="0"/>
              <w:contextualSpacing/>
              <w:rPr>
                <w:rFonts w:ascii="Palatino Linotype" w:hAnsi="Palatino Linotype"/>
                <w:sz w:val="22"/>
                <w:szCs w:val="22"/>
                <w:lang w:val="en-AU"/>
              </w:rPr>
            </w:pPr>
          </w:p>
        </w:tc>
        <w:tc>
          <w:tcPr>
            <w:tcW w:w="638" w:type="pct"/>
            <w:tcBorders>
              <w:bottom w:val="single" w:sz="4" w:space="0" w:color="auto"/>
            </w:tcBorders>
            <w:shd w:val="clear" w:color="auto" w:fill="FBD4B4"/>
          </w:tcPr>
          <w:p w:rsidR="00B835F0" w:rsidRPr="00252329" w:rsidRDefault="00B835F0" w:rsidP="00252329">
            <w:pPr>
              <w:widowControl w:val="0"/>
              <w:contextualSpacing/>
              <w:rPr>
                <w:rFonts w:ascii="Palatino Linotype" w:hAnsi="Palatino Linotype"/>
                <w:bCs/>
                <w:sz w:val="22"/>
                <w:szCs w:val="22"/>
              </w:rPr>
            </w:pPr>
          </w:p>
        </w:tc>
      </w:tr>
      <w:tr w:rsidR="00252329" w:rsidRPr="00252329" w:rsidTr="00252329">
        <w:trPr>
          <w:trHeight w:val="1574"/>
        </w:trPr>
        <w:tc>
          <w:tcPr>
            <w:tcW w:w="189" w:type="pct"/>
            <w:tcBorders>
              <w:bottom w:val="single" w:sz="4" w:space="0" w:color="auto"/>
            </w:tcBorders>
          </w:tcPr>
          <w:p w:rsidR="00B835F0" w:rsidRPr="00252329" w:rsidRDefault="00B835F0" w:rsidP="00252329">
            <w:pPr>
              <w:widowControl w:val="0"/>
              <w:contextualSpacing/>
              <w:rPr>
                <w:rFonts w:ascii="Palatino Linotype" w:hAnsi="Palatino Linotype"/>
                <w:sz w:val="22"/>
                <w:szCs w:val="22"/>
              </w:rPr>
            </w:pPr>
          </w:p>
        </w:tc>
        <w:tc>
          <w:tcPr>
            <w:tcW w:w="1338" w:type="pct"/>
            <w:tcBorders>
              <w:top w:val="single" w:sz="4" w:space="0" w:color="auto"/>
              <w:left w:val="single" w:sz="4" w:space="0" w:color="auto"/>
              <w:bottom w:val="single" w:sz="4" w:space="0" w:color="auto"/>
              <w:right w:val="single" w:sz="4" w:space="0" w:color="auto"/>
            </w:tcBorders>
            <w:shd w:val="clear" w:color="auto" w:fill="auto"/>
            <w:vAlign w:val="center"/>
          </w:tcPr>
          <w:p w:rsidR="00B835F0" w:rsidRPr="00252329" w:rsidRDefault="00BC4841" w:rsidP="00252329">
            <w:pPr>
              <w:widowControl w:val="0"/>
              <w:contextualSpacing/>
              <w:rPr>
                <w:rFonts w:ascii="Palatino Linotype" w:hAnsi="Palatino Linotype"/>
                <w:color w:val="000000"/>
                <w:sz w:val="22"/>
                <w:szCs w:val="22"/>
              </w:rPr>
            </w:pPr>
            <w:r w:rsidRPr="00252329">
              <w:rPr>
                <w:rFonts w:ascii="Palatino Linotype" w:hAnsi="Palatino Linotype"/>
                <w:color w:val="000000"/>
                <w:sz w:val="22"/>
                <w:szCs w:val="22"/>
              </w:rPr>
              <w:t>Monitoring and supportive supervision through visits of 2 days per district across 5 districts, on a monthly basis  in the field to grassroots level stakeholders</w:t>
            </w:r>
          </w:p>
        </w:tc>
        <w:tc>
          <w:tcPr>
            <w:tcW w:w="1147" w:type="pct"/>
            <w:tcBorders>
              <w:top w:val="single" w:sz="4" w:space="0" w:color="auto"/>
              <w:left w:val="nil"/>
              <w:bottom w:val="single" w:sz="4" w:space="0" w:color="auto"/>
              <w:right w:val="single" w:sz="4" w:space="0" w:color="auto"/>
            </w:tcBorders>
            <w:shd w:val="clear" w:color="auto" w:fill="auto"/>
            <w:vAlign w:val="center"/>
          </w:tcPr>
          <w:p w:rsidR="00B835F0" w:rsidRPr="00252329" w:rsidRDefault="00BC4841" w:rsidP="00252329">
            <w:pPr>
              <w:widowControl w:val="0"/>
              <w:contextualSpacing/>
              <w:rPr>
                <w:rFonts w:ascii="Palatino Linotype" w:hAnsi="Palatino Linotype"/>
                <w:color w:val="000000"/>
                <w:sz w:val="22"/>
                <w:szCs w:val="22"/>
              </w:rPr>
            </w:pPr>
            <w:r w:rsidRPr="00252329">
              <w:rPr>
                <w:rFonts w:ascii="Palatino Linotype" w:hAnsi="Palatino Linotype"/>
                <w:color w:val="000000"/>
                <w:sz w:val="22"/>
                <w:szCs w:val="22"/>
              </w:rPr>
              <w:t>Consolidated monthly monitoring reports -1,2,3(one per quarter)</w:t>
            </w:r>
          </w:p>
        </w:tc>
        <w:tc>
          <w:tcPr>
            <w:tcW w:w="487" w:type="pct"/>
            <w:tcBorders>
              <w:bottom w:val="single" w:sz="4" w:space="0" w:color="auto"/>
            </w:tcBorders>
            <w:shd w:val="clear" w:color="auto" w:fill="FFFFFF"/>
          </w:tcPr>
          <w:p w:rsidR="00BC4841" w:rsidRPr="00252329" w:rsidRDefault="00BC4841" w:rsidP="00252329">
            <w:pPr>
              <w:widowControl w:val="0"/>
              <w:contextualSpacing/>
              <w:rPr>
                <w:rFonts w:ascii="Palatino Linotype" w:hAnsi="Palatino Linotype" w:cs="Arial"/>
                <w:sz w:val="22"/>
                <w:szCs w:val="22"/>
              </w:rPr>
            </w:pPr>
            <w:r w:rsidRPr="00252329">
              <w:rPr>
                <w:rFonts w:ascii="Palatino Linotype" w:hAnsi="Palatino Linotype" w:cs="Arial"/>
                <w:sz w:val="22"/>
                <w:szCs w:val="22"/>
              </w:rPr>
              <w:t>Quarter 1,2,3</w:t>
            </w:r>
          </w:p>
          <w:p w:rsidR="00B835F0" w:rsidRPr="00252329" w:rsidRDefault="00B835F0" w:rsidP="00252329">
            <w:pPr>
              <w:widowControl w:val="0"/>
              <w:contextualSpacing/>
              <w:rPr>
                <w:rFonts w:ascii="Palatino Linotype" w:hAnsi="Palatino Linotype" w:cs="Arial"/>
                <w:sz w:val="22"/>
                <w:szCs w:val="22"/>
              </w:rPr>
            </w:pPr>
          </w:p>
        </w:tc>
        <w:tc>
          <w:tcPr>
            <w:tcW w:w="713" w:type="pct"/>
            <w:tcBorders>
              <w:bottom w:val="single" w:sz="4" w:space="0" w:color="auto"/>
            </w:tcBorders>
            <w:shd w:val="clear" w:color="auto" w:fill="auto"/>
          </w:tcPr>
          <w:p w:rsidR="00B835F0" w:rsidRPr="00252329" w:rsidRDefault="008A1CCD" w:rsidP="00252329">
            <w:pPr>
              <w:widowControl w:val="0"/>
              <w:contextualSpacing/>
              <w:rPr>
                <w:rFonts w:ascii="Palatino Linotype" w:hAnsi="Palatino Linotype"/>
                <w:sz w:val="22"/>
                <w:szCs w:val="22"/>
                <w:lang w:val="en-AU"/>
              </w:rPr>
            </w:pPr>
            <w:r w:rsidRPr="00252329">
              <w:rPr>
                <w:rFonts w:ascii="Palatino Linotype" w:hAnsi="Palatino Linotype"/>
                <w:sz w:val="22"/>
                <w:szCs w:val="22"/>
                <w:lang w:val="en-AU"/>
              </w:rPr>
              <w:t>45 days</w:t>
            </w:r>
          </w:p>
        </w:tc>
        <w:tc>
          <w:tcPr>
            <w:tcW w:w="487" w:type="pct"/>
            <w:tcBorders>
              <w:bottom w:val="single" w:sz="4" w:space="0" w:color="auto"/>
            </w:tcBorders>
            <w:shd w:val="clear" w:color="auto" w:fill="FBD4B4"/>
          </w:tcPr>
          <w:p w:rsidR="00B835F0" w:rsidRPr="00252329" w:rsidRDefault="00B835F0" w:rsidP="00252329">
            <w:pPr>
              <w:widowControl w:val="0"/>
              <w:contextualSpacing/>
              <w:rPr>
                <w:rFonts w:ascii="Palatino Linotype" w:hAnsi="Palatino Linotype"/>
                <w:sz w:val="22"/>
                <w:szCs w:val="22"/>
                <w:lang w:val="en-AU"/>
              </w:rPr>
            </w:pPr>
          </w:p>
        </w:tc>
        <w:tc>
          <w:tcPr>
            <w:tcW w:w="638" w:type="pct"/>
            <w:tcBorders>
              <w:bottom w:val="single" w:sz="4" w:space="0" w:color="auto"/>
            </w:tcBorders>
            <w:shd w:val="clear" w:color="auto" w:fill="FBD4B4"/>
          </w:tcPr>
          <w:p w:rsidR="00B835F0" w:rsidRPr="00252329" w:rsidRDefault="00B835F0" w:rsidP="00252329">
            <w:pPr>
              <w:widowControl w:val="0"/>
              <w:contextualSpacing/>
              <w:rPr>
                <w:rFonts w:ascii="Palatino Linotype" w:hAnsi="Palatino Linotype"/>
                <w:bCs/>
                <w:sz w:val="22"/>
                <w:szCs w:val="22"/>
              </w:rPr>
            </w:pPr>
          </w:p>
        </w:tc>
      </w:tr>
      <w:tr w:rsidR="00252329" w:rsidRPr="00252329" w:rsidTr="00252329">
        <w:trPr>
          <w:trHeight w:val="269"/>
        </w:trPr>
        <w:tc>
          <w:tcPr>
            <w:tcW w:w="189" w:type="pct"/>
            <w:tcBorders>
              <w:bottom w:val="single" w:sz="4" w:space="0" w:color="auto"/>
            </w:tcBorders>
          </w:tcPr>
          <w:p w:rsidR="00B835F0" w:rsidRPr="00252329" w:rsidRDefault="00B835F0" w:rsidP="00252329">
            <w:pPr>
              <w:widowControl w:val="0"/>
              <w:contextualSpacing/>
              <w:rPr>
                <w:rFonts w:ascii="Palatino Linotype" w:hAnsi="Palatino Linotype"/>
                <w:sz w:val="22"/>
                <w:szCs w:val="22"/>
              </w:rPr>
            </w:pPr>
          </w:p>
        </w:tc>
        <w:tc>
          <w:tcPr>
            <w:tcW w:w="1338" w:type="pct"/>
            <w:tcBorders>
              <w:bottom w:val="single" w:sz="4" w:space="0" w:color="auto"/>
            </w:tcBorders>
          </w:tcPr>
          <w:p w:rsidR="00BC4841" w:rsidRPr="00252329" w:rsidRDefault="00BC4841" w:rsidP="00252329">
            <w:pPr>
              <w:widowControl w:val="0"/>
              <w:contextualSpacing/>
              <w:rPr>
                <w:rFonts w:ascii="Palatino Linotype" w:hAnsi="Palatino Linotype"/>
                <w:sz w:val="22"/>
                <w:szCs w:val="22"/>
              </w:rPr>
            </w:pPr>
            <w:r w:rsidRPr="00252329">
              <w:rPr>
                <w:rFonts w:ascii="Palatino Linotype" w:hAnsi="Palatino Linotype"/>
                <w:sz w:val="22"/>
                <w:szCs w:val="22"/>
              </w:rPr>
              <w:t>Develop capacities of mid media partnerships (academia/ folk/ CBOs) to rollout localized mid media campaigns</w:t>
            </w:r>
          </w:p>
          <w:p w:rsidR="00B835F0" w:rsidRPr="00252329" w:rsidRDefault="00B835F0" w:rsidP="00252329">
            <w:pPr>
              <w:widowControl w:val="0"/>
              <w:contextualSpacing/>
              <w:rPr>
                <w:rFonts w:ascii="Palatino Linotype" w:hAnsi="Palatino Linotype"/>
                <w:sz w:val="22"/>
                <w:szCs w:val="22"/>
              </w:rPr>
            </w:pPr>
          </w:p>
        </w:tc>
        <w:tc>
          <w:tcPr>
            <w:tcW w:w="1147" w:type="pct"/>
            <w:tcBorders>
              <w:top w:val="nil"/>
              <w:left w:val="single" w:sz="4" w:space="0" w:color="auto"/>
              <w:bottom w:val="single" w:sz="4" w:space="0" w:color="auto"/>
              <w:right w:val="single" w:sz="4" w:space="0" w:color="auto"/>
            </w:tcBorders>
            <w:shd w:val="clear" w:color="auto" w:fill="auto"/>
          </w:tcPr>
          <w:p w:rsidR="00B835F0" w:rsidRPr="00252329" w:rsidRDefault="00BC4841" w:rsidP="00252329">
            <w:pPr>
              <w:widowControl w:val="0"/>
              <w:contextualSpacing/>
              <w:jc w:val="both"/>
              <w:rPr>
                <w:rFonts w:ascii="Palatino Linotype" w:hAnsi="Palatino Linotype"/>
                <w:sz w:val="22"/>
                <w:szCs w:val="22"/>
              </w:rPr>
            </w:pPr>
            <w:r w:rsidRPr="00252329">
              <w:rPr>
                <w:rFonts w:ascii="Palatino Linotype" w:hAnsi="Palatino Linotype"/>
                <w:sz w:val="22"/>
                <w:szCs w:val="22"/>
              </w:rPr>
              <w:t>consolidated Mid media actions plans of 5 districts</w:t>
            </w:r>
          </w:p>
        </w:tc>
        <w:tc>
          <w:tcPr>
            <w:tcW w:w="487" w:type="pct"/>
            <w:tcBorders>
              <w:bottom w:val="single" w:sz="4" w:space="0" w:color="auto"/>
            </w:tcBorders>
            <w:shd w:val="clear" w:color="auto" w:fill="FFFFFF"/>
          </w:tcPr>
          <w:p w:rsidR="00B835F0" w:rsidRPr="00252329" w:rsidRDefault="00BC4841" w:rsidP="00252329">
            <w:pPr>
              <w:widowControl w:val="0"/>
              <w:contextualSpacing/>
              <w:rPr>
                <w:rFonts w:ascii="Palatino Linotype" w:hAnsi="Palatino Linotype"/>
                <w:sz w:val="22"/>
                <w:szCs w:val="22"/>
              </w:rPr>
            </w:pPr>
            <w:r w:rsidRPr="00252329">
              <w:rPr>
                <w:rFonts w:ascii="Palatino Linotype" w:hAnsi="Palatino Linotype" w:cs="Calibri"/>
                <w:sz w:val="22"/>
                <w:szCs w:val="22"/>
              </w:rPr>
              <w:t>Quarter 2</w:t>
            </w:r>
          </w:p>
        </w:tc>
        <w:tc>
          <w:tcPr>
            <w:tcW w:w="713" w:type="pct"/>
            <w:tcBorders>
              <w:bottom w:val="single" w:sz="4" w:space="0" w:color="auto"/>
            </w:tcBorders>
            <w:shd w:val="clear" w:color="auto" w:fill="auto"/>
          </w:tcPr>
          <w:p w:rsidR="00B835F0" w:rsidRPr="00252329" w:rsidRDefault="008A1CCD" w:rsidP="00252329">
            <w:pPr>
              <w:pStyle w:val="BodyText2"/>
              <w:widowControl w:val="0"/>
              <w:contextualSpacing/>
              <w:jc w:val="left"/>
              <w:rPr>
                <w:rFonts w:ascii="Palatino Linotype" w:hAnsi="Palatino Linotype"/>
                <w:sz w:val="22"/>
                <w:szCs w:val="22"/>
                <w:lang w:val="en-AU"/>
              </w:rPr>
            </w:pPr>
            <w:r w:rsidRPr="00252329">
              <w:rPr>
                <w:rFonts w:ascii="Palatino Linotype" w:hAnsi="Palatino Linotype"/>
                <w:sz w:val="22"/>
                <w:szCs w:val="22"/>
                <w:lang w:val="en-AU"/>
              </w:rPr>
              <w:t>10 days</w:t>
            </w:r>
          </w:p>
        </w:tc>
        <w:tc>
          <w:tcPr>
            <w:tcW w:w="487" w:type="pct"/>
            <w:tcBorders>
              <w:bottom w:val="single" w:sz="4" w:space="0" w:color="auto"/>
            </w:tcBorders>
            <w:shd w:val="clear" w:color="auto" w:fill="FBD4B4"/>
          </w:tcPr>
          <w:p w:rsidR="00B835F0" w:rsidRPr="00252329" w:rsidRDefault="00B835F0" w:rsidP="00252329">
            <w:pPr>
              <w:pStyle w:val="BodyText2"/>
              <w:widowControl w:val="0"/>
              <w:contextualSpacing/>
              <w:jc w:val="left"/>
              <w:rPr>
                <w:rFonts w:ascii="Palatino Linotype" w:hAnsi="Palatino Linotype"/>
                <w:sz w:val="22"/>
                <w:szCs w:val="22"/>
                <w:lang w:val="en-AU"/>
              </w:rPr>
            </w:pPr>
          </w:p>
        </w:tc>
        <w:tc>
          <w:tcPr>
            <w:tcW w:w="638" w:type="pct"/>
            <w:tcBorders>
              <w:bottom w:val="single" w:sz="4" w:space="0" w:color="auto"/>
            </w:tcBorders>
            <w:shd w:val="clear" w:color="auto" w:fill="FBD4B4"/>
          </w:tcPr>
          <w:p w:rsidR="00B835F0" w:rsidRPr="00252329" w:rsidRDefault="00B835F0" w:rsidP="00252329">
            <w:pPr>
              <w:widowControl w:val="0"/>
              <w:contextualSpacing/>
              <w:rPr>
                <w:rFonts w:ascii="Palatino Linotype" w:hAnsi="Palatino Linotype"/>
                <w:bCs/>
                <w:sz w:val="22"/>
                <w:szCs w:val="22"/>
              </w:rPr>
            </w:pPr>
          </w:p>
        </w:tc>
      </w:tr>
      <w:tr w:rsidR="00252329" w:rsidRPr="00252329" w:rsidTr="00252329">
        <w:trPr>
          <w:trHeight w:val="1781"/>
        </w:trPr>
        <w:tc>
          <w:tcPr>
            <w:tcW w:w="189" w:type="pct"/>
            <w:tcBorders>
              <w:bottom w:val="single" w:sz="4" w:space="0" w:color="auto"/>
            </w:tcBorders>
          </w:tcPr>
          <w:p w:rsidR="00B835F0" w:rsidRPr="00252329" w:rsidRDefault="00B835F0" w:rsidP="00252329">
            <w:pPr>
              <w:widowControl w:val="0"/>
              <w:contextualSpacing/>
              <w:rPr>
                <w:rFonts w:ascii="Palatino Linotype" w:hAnsi="Palatino Linotype"/>
                <w:sz w:val="22"/>
                <w:szCs w:val="22"/>
              </w:rPr>
            </w:pPr>
          </w:p>
        </w:tc>
        <w:tc>
          <w:tcPr>
            <w:tcW w:w="1338" w:type="pct"/>
            <w:tcBorders>
              <w:bottom w:val="single" w:sz="4" w:space="0" w:color="auto"/>
            </w:tcBorders>
          </w:tcPr>
          <w:p w:rsidR="00B835F0" w:rsidRPr="00252329" w:rsidRDefault="00BC4841" w:rsidP="00252329">
            <w:pPr>
              <w:widowControl w:val="0"/>
              <w:contextualSpacing/>
              <w:rPr>
                <w:rFonts w:ascii="Palatino Linotype" w:hAnsi="Palatino Linotype" w:cs="Calibri"/>
                <w:sz w:val="22"/>
                <w:szCs w:val="22"/>
              </w:rPr>
            </w:pPr>
            <w:r w:rsidRPr="00252329">
              <w:rPr>
                <w:rFonts w:ascii="Palatino Linotype" w:hAnsi="Palatino Linotype" w:cs="Calibri"/>
                <w:sz w:val="22"/>
                <w:szCs w:val="22"/>
              </w:rPr>
              <w:t xml:space="preserve">Coordinate for refresher of DRGs on SBCC – CATS capacity cascade including experiential, class room based, and exchange visit based learning opportunities  through final </w:t>
            </w:r>
            <w:r w:rsidR="00252329" w:rsidRPr="00252329">
              <w:rPr>
                <w:rFonts w:ascii="Palatino Linotype" w:hAnsi="Palatino Linotype" w:cs="Calibri"/>
                <w:sz w:val="22"/>
                <w:szCs w:val="22"/>
              </w:rPr>
              <w:t>tribal</w:t>
            </w:r>
            <w:r w:rsidR="00252329">
              <w:rPr>
                <w:rFonts w:ascii="Palatino Linotype" w:hAnsi="Palatino Linotype" w:cs="Calibri"/>
                <w:sz w:val="22"/>
                <w:szCs w:val="22"/>
              </w:rPr>
              <w:t xml:space="preserve"> module</w:t>
            </w:r>
          </w:p>
        </w:tc>
        <w:tc>
          <w:tcPr>
            <w:tcW w:w="1147" w:type="pct"/>
            <w:tcBorders>
              <w:top w:val="nil"/>
              <w:left w:val="single" w:sz="4" w:space="0" w:color="auto"/>
              <w:bottom w:val="single" w:sz="4" w:space="0" w:color="auto"/>
              <w:right w:val="single" w:sz="4" w:space="0" w:color="auto"/>
            </w:tcBorders>
            <w:shd w:val="clear" w:color="auto" w:fill="auto"/>
          </w:tcPr>
          <w:p w:rsidR="00B835F0" w:rsidRPr="00252329" w:rsidRDefault="00BC4841" w:rsidP="00252329">
            <w:pPr>
              <w:widowControl w:val="0"/>
              <w:contextualSpacing/>
              <w:jc w:val="both"/>
              <w:rPr>
                <w:rFonts w:ascii="Palatino Linotype" w:hAnsi="Palatino Linotype"/>
                <w:b/>
                <w:bCs/>
                <w:sz w:val="22"/>
                <w:szCs w:val="22"/>
              </w:rPr>
            </w:pPr>
            <w:r w:rsidRPr="00252329">
              <w:rPr>
                <w:rFonts w:ascii="Palatino Linotype" w:hAnsi="Palatino Linotype"/>
                <w:b/>
                <w:bCs/>
                <w:sz w:val="22"/>
                <w:szCs w:val="22"/>
              </w:rPr>
              <w:t>DRG capacity building report</w:t>
            </w:r>
          </w:p>
        </w:tc>
        <w:tc>
          <w:tcPr>
            <w:tcW w:w="487" w:type="pct"/>
            <w:tcBorders>
              <w:bottom w:val="single" w:sz="4" w:space="0" w:color="auto"/>
            </w:tcBorders>
            <w:shd w:val="clear" w:color="auto" w:fill="FFFFFF"/>
          </w:tcPr>
          <w:p w:rsidR="00B835F0" w:rsidRPr="00252329" w:rsidRDefault="00BC4841" w:rsidP="00252329">
            <w:pPr>
              <w:widowControl w:val="0"/>
              <w:contextualSpacing/>
              <w:rPr>
                <w:rFonts w:ascii="Palatino Linotype" w:hAnsi="Palatino Linotype"/>
                <w:sz w:val="22"/>
                <w:szCs w:val="22"/>
              </w:rPr>
            </w:pPr>
            <w:r w:rsidRPr="00252329">
              <w:rPr>
                <w:rFonts w:ascii="Palatino Linotype" w:hAnsi="Palatino Linotype"/>
                <w:sz w:val="22"/>
                <w:szCs w:val="22"/>
              </w:rPr>
              <w:t>Quarter 1</w:t>
            </w:r>
          </w:p>
        </w:tc>
        <w:tc>
          <w:tcPr>
            <w:tcW w:w="713" w:type="pct"/>
            <w:tcBorders>
              <w:bottom w:val="single" w:sz="4" w:space="0" w:color="auto"/>
            </w:tcBorders>
            <w:shd w:val="clear" w:color="auto" w:fill="auto"/>
          </w:tcPr>
          <w:p w:rsidR="00B835F0" w:rsidRPr="00252329" w:rsidRDefault="008A1CCD" w:rsidP="00252329">
            <w:pPr>
              <w:pStyle w:val="BodyText2"/>
              <w:widowControl w:val="0"/>
              <w:contextualSpacing/>
              <w:jc w:val="left"/>
              <w:rPr>
                <w:rFonts w:ascii="Palatino Linotype" w:hAnsi="Palatino Linotype"/>
                <w:sz w:val="22"/>
                <w:szCs w:val="22"/>
                <w:lang w:val="en-AU"/>
              </w:rPr>
            </w:pPr>
            <w:r w:rsidRPr="00252329">
              <w:rPr>
                <w:rFonts w:ascii="Palatino Linotype" w:hAnsi="Palatino Linotype"/>
                <w:sz w:val="22"/>
                <w:szCs w:val="22"/>
                <w:lang w:val="en-AU"/>
              </w:rPr>
              <w:t>15 days</w:t>
            </w:r>
          </w:p>
        </w:tc>
        <w:tc>
          <w:tcPr>
            <w:tcW w:w="487" w:type="pct"/>
            <w:tcBorders>
              <w:bottom w:val="single" w:sz="4" w:space="0" w:color="auto"/>
            </w:tcBorders>
            <w:shd w:val="clear" w:color="auto" w:fill="FBD4B4"/>
          </w:tcPr>
          <w:p w:rsidR="00B835F0" w:rsidRPr="00252329" w:rsidRDefault="00B835F0" w:rsidP="00252329">
            <w:pPr>
              <w:pStyle w:val="BodyText2"/>
              <w:widowControl w:val="0"/>
              <w:contextualSpacing/>
              <w:jc w:val="left"/>
              <w:rPr>
                <w:rFonts w:ascii="Palatino Linotype" w:hAnsi="Palatino Linotype"/>
                <w:sz w:val="22"/>
                <w:szCs w:val="22"/>
                <w:lang w:val="en-AU"/>
              </w:rPr>
            </w:pPr>
          </w:p>
        </w:tc>
        <w:tc>
          <w:tcPr>
            <w:tcW w:w="638" w:type="pct"/>
            <w:tcBorders>
              <w:bottom w:val="single" w:sz="4" w:space="0" w:color="auto"/>
            </w:tcBorders>
            <w:shd w:val="clear" w:color="auto" w:fill="FBD4B4"/>
          </w:tcPr>
          <w:p w:rsidR="00B835F0" w:rsidRPr="00252329" w:rsidRDefault="00B835F0" w:rsidP="00252329">
            <w:pPr>
              <w:widowControl w:val="0"/>
              <w:contextualSpacing/>
              <w:rPr>
                <w:rFonts w:ascii="Palatino Linotype" w:hAnsi="Palatino Linotype"/>
                <w:bCs/>
                <w:sz w:val="22"/>
                <w:szCs w:val="22"/>
              </w:rPr>
            </w:pPr>
          </w:p>
        </w:tc>
      </w:tr>
      <w:tr w:rsidR="00252329" w:rsidRPr="00252329" w:rsidTr="00252329">
        <w:trPr>
          <w:trHeight w:val="269"/>
        </w:trPr>
        <w:tc>
          <w:tcPr>
            <w:tcW w:w="189" w:type="pct"/>
            <w:tcBorders>
              <w:bottom w:val="single" w:sz="4" w:space="0" w:color="auto"/>
            </w:tcBorders>
          </w:tcPr>
          <w:p w:rsidR="00B835F0" w:rsidRPr="00252329" w:rsidRDefault="00B835F0" w:rsidP="00252329">
            <w:pPr>
              <w:widowControl w:val="0"/>
              <w:contextualSpacing/>
              <w:jc w:val="both"/>
              <w:rPr>
                <w:rFonts w:ascii="Palatino Linotype" w:hAnsi="Palatino Linotype"/>
                <w:sz w:val="22"/>
                <w:szCs w:val="22"/>
              </w:rPr>
            </w:pPr>
          </w:p>
        </w:tc>
        <w:tc>
          <w:tcPr>
            <w:tcW w:w="1338" w:type="pct"/>
            <w:tcBorders>
              <w:bottom w:val="single" w:sz="4" w:space="0" w:color="auto"/>
            </w:tcBorders>
          </w:tcPr>
          <w:p w:rsidR="00B835F0" w:rsidRPr="00252329" w:rsidRDefault="008A1CCD" w:rsidP="00252329">
            <w:pPr>
              <w:widowControl w:val="0"/>
              <w:contextualSpacing/>
              <w:rPr>
                <w:rFonts w:ascii="Palatino Linotype" w:hAnsi="Palatino Linotype"/>
                <w:sz w:val="22"/>
                <w:szCs w:val="22"/>
              </w:rPr>
            </w:pPr>
            <w:r w:rsidRPr="00252329">
              <w:rPr>
                <w:rFonts w:ascii="Palatino Linotype" w:hAnsi="Palatino Linotype"/>
                <w:sz w:val="22"/>
                <w:szCs w:val="22"/>
                <w:lang w:val="en-IN"/>
              </w:rPr>
              <w:t xml:space="preserve">Convergence meeting </w:t>
            </w:r>
            <w:r w:rsidRPr="00252329">
              <w:rPr>
                <w:rFonts w:ascii="Palatino Linotype" w:hAnsi="Palatino Linotype"/>
                <w:sz w:val="22"/>
                <w:szCs w:val="22"/>
              </w:rPr>
              <w:t>towards development of strategic framework of engagement of women based community networks defining roles, review indicators, norms, resource flow mechanisms, and authority &amp; accountability framework.</w:t>
            </w:r>
          </w:p>
        </w:tc>
        <w:tc>
          <w:tcPr>
            <w:tcW w:w="1147" w:type="pct"/>
            <w:tcBorders>
              <w:top w:val="single" w:sz="4" w:space="0" w:color="auto"/>
              <w:left w:val="single" w:sz="4" w:space="0" w:color="auto"/>
              <w:bottom w:val="single" w:sz="4" w:space="0" w:color="auto"/>
              <w:right w:val="single" w:sz="4" w:space="0" w:color="auto"/>
            </w:tcBorders>
            <w:shd w:val="clear" w:color="auto" w:fill="auto"/>
          </w:tcPr>
          <w:p w:rsidR="00B835F0" w:rsidRPr="00252329" w:rsidRDefault="008A1CCD" w:rsidP="00252329">
            <w:pPr>
              <w:widowControl w:val="0"/>
              <w:contextualSpacing/>
              <w:jc w:val="both"/>
              <w:rPr>
                <w:rFonts w:ascii="Palatino Linotype" w:hAnsi="Palatino Linotype"/>
                <w:sz w:val="22"/>
                <w:szCs w:val="22"/>
              </w:rPr>
            </w:pPr>
            <w:r w:rsidRPr="00252329">
              <w:rPr>
                <w:rFonts w:ascii="Palatino Linotype" w:hAnsi="Palatino Linotype"/>
                <w:sz w:val="22"/>
                <w:szCs w:val="22"/>
              </w:rPr>
              <w:t xml:space="preserve">GR at the district level with agreed engagement framework with  </w:t>
            </w:r>
            <w:proofErr w:type="spellStart"/>
            <w:r w:rsidRPr="00252329">
              <w:rPr>
                <w:rFonts w:ascii="Palatino Linotype" w:hAnsi="Palatino Linotype"/>
                <w:sz w:val="22"/>
                <w:szCs w:val="22"/>
              </w:rPr>
              <w:t>Rajivika</w:t>
            </w:r>
            <w:proofErr w:type="spellEnd"/>
            <w:r w:rsidRPr="00252329">
              <w:rPr>
                <w:rFonts w:ascii="Palatino Linotype" w:hAnsi="Palatino Linotype"/>
                <w:sz w:val="22"/>
                <w:szCs w:val="22"/>
              </w:rPr>
              <w:t>/ SHG networks  (including clear communication on responsibility, accountability, capacity and accountability)</w:t>
            </w:r>
          </w:p>
        </w:tc>
        <w:tc>
          <w:tcPr>
            <w:tcW w:w="487" w:type="pct"/>
            <w:tcBorders>
              <w:bottom w:val="single" w:sz="4" w:space="0" w:color="auto"/>
            </w:tcBorders>
            <w:shd w:val="clear" w:color="auto" w:fill="FFFFFF"/>
          </w:tcPr>
          <w:p w:rsidR="00B835F0" w:rsidRPr="00252329" w:rsidRDefault="008A1CCD" w:rsidP="00252329">
            <w:pPr>
              <w:widowControl w:val="0"/>
              <w:contextualSpacing/>
              <w:rPr>
                <w:rFonts w:ascii="Palatino Linotype" w:hAnsi="Palatino Linotype"/>
                <w:sz w:val="22"/>
                <w:szCs w:val="22"/>
              </w:rPr>
            </w:pPr>
            <w:r w:rsidRPr="00252329">
              <w:rPr>
                <w:rFonts w:ascii="Palatino Linotype" w:hAnsi="Palatino Linotype"/>
                <w:sz w:val="22"/>
                <w:szCs w:val="22"/>
              </w:rPr>
              <w:t>quarter 2</w:t>
            </w:r>
          </w:p>
        </w:tc>
        <w:tc>
          <w:tcPr>
            <w:tcW w:w="713" w:type="pct"/>
            <w:tcBorders>
              <w:bottom w:val="single" w:sz="4" w:space="0" w:color="auto"/>
            </w:tcBorders>
            <w:shd w:val="clear" w:color="auto" w:fill="auto"/>
          </w:tcPr>
          <w:p w:rsidR="00B835F0" w:rsidRPr="00252329" w:rsidRDefault="008A1CCD" w:rsidP="00252329">
            <w:pPr>
              <w:pStyle w:val="BodyText2"/>
              <w:widowControl w:val="0"/>
              <w:contextualSpacing/>
              <w:jc w:val="left"/>
              <w:rPr>
                <w:rFonts w:ascii="Palatino Linotype" w:hAnsi="Palatino Linotype"/>
                <w:sz w:val="22"/>
                <w:szCs w:val="22"/>
                <w:lang w:val="en-AU"/>
              </w:rPr>
            </w:pPr>
            <w:r w:rsidRPr="00252329">
              <w:rPr>
                <w:rFonts w:ascii="Palatino Linotype" w:hAnsi="Palatino Linotype"/>
                <w:sz w:val="22"/>
                <w:szCs w:val="22"/>
                <w:lang w:val="en-AU"/>
              </w:rPr>
              <w:t>5 days</w:t>
            </w:r>
          </w:p>
        </w:tc>
        <w:tc>
          <w:tcPr>
            <w:tcW w:w="487" w:type="pct"/>
            <w:tcBorders>
              <w:bottom w:val="single" w:sz="4" w:space="0" w:color="auto"/>
            </w:tcBorders>
            <w:shd w:val="clear" w:color="auto" w:fill="FBD4B4"/>
          </w:tcPr>
          <w:p w:rsidR="00B835F0" w:rsidRPr="00252329" w:rsidRDefault="00B835F0" w:rsidP="00252329">
            <w:pPr>
              <w:pStyle w:val="BodyText2"/>
              <w:widowControl w:val="0"/>
              <w:contextualSpacing/>
              <w:jc w:val="left"/>
              <w:rPr>
                <w:rFonts w:ascii="Palatino Linotype" w:hAnsi="Palatino Linotype"/>
                <w:sz w:val="22"/>
                <w:szCs w:val="22"/>
                <w:lang w:val="en-AU"/>
              </w:rPr>
            </w:pPr>
          </w:p>
        </w:tc>
        <w:tc>
          <w:tcPr>
            <w:tcW w:w="638" w:type="pct"/>
            <w:tcBorders>
              <w:bottom w:val="single" w:sz="4" w:space="0" w:color="auto"/>
            </w:tcBorders>
            <w:shd w:val="clear" w:color="auto" w:fill="FBD4B4"/>
          </w:tcPr>
          <w:p w:rsidR="00B835F0" w:rsidRPr="00252329" w:rsidRDefault="00B835F0" w:rsidP="00252329">
            <w:pPr>
              <w:widowControl w:val="0"/>
              <w:contextualSpacing/>
              <w:rPr>
                <w:rFonts w:ascii="Palatino Linotype" w:hAnsi="Palatino Linotype"/>
                <w:bCs/>
                <w:sz w:val="22"/>
                <w:szCs w:val="22"/>
              </w:rPr>
            </w:pPr>
          </w:p>
        </w:tc>
      </w:tr>
      <w:tr w:rsidR="00252329" w:rsidRPr="00252329" w:rsidTr="00252329">
        <w:trPr>
          <w:trHeight w:val="1012"/>
        </w:trPr>
        <w:tc>
          <w:tcPr>
            <w:tcW w:w="189" w:type="pct"/>
            <w:tcBorders>
              <w:bottom w:val="single" w:sz="4" w:space="0" w:color="auto"/>
            </w:tcBorders>
          </w:tcPr>
          <w:p w:rsidR="00B835F0" w:rsidRPr="00252329" w:rsidRDefault="00B835F0" w:rsidP="00252329">
            <w:pPr>
              <w:widowControl w:val="0"/>
              <w:contextualSpacing/>
              <w:rPr>
                <w:rFonts w:ascii="Palatino Linotype" w:hAnsi="Palatino Linotype"/>
                <w:sz w:val="22"/>
                <w:szCs w:val="22"/>
              </w:rPr>
            </w:pPr>
          </w:p>
        </w:tc>
        <w:tc>
          <w:tcPr>
            <w:tcW w:w="1338" w:type="pct"/>
            <w:tcBorders>
              <w:bottom w:val="single" w:sz="4" w:space="0" w:color="auto"/>
            </w:tcBorders>
          </w:tcPr>
          <w:p w:rsidR="00B835F0" w:rsidRPr="00252329" w:rsidRDefault="008A1CCD" w:rsidP="00252329">
            <w:pPr>
              <w:widowControl w:val="0"/>
              <w:contextualSpacing/>
              <w:rPr>
                <w:rFonts w:ascii="Palatino Linotype" w:hAnsi="Palatino Linotype"/>
                <w:sz w:val="22"/>
                <w:szCs w:val="22"/>
              </w:rPr>
            </w:pPr>
            <w:r w:rsidRPr="00252329">
              <w:rPr>
                <w:rFonts w:ascii="Palatino Linotype" w:hAnsi="Palatino Linotype"/>
                <w:sz w:val="22"/>
                <w:szCs w:val="22"/>
              </w:rPr>
              <w:t>Organization of Convergence meet and consultation with NSS/NYKS and DIETS towards development of strategic framework of engagement of youth and children based community networks defining roles, review indicators, norms, resource flow mechanisms, and authority &amp; accountability framework</w:t>
            </w:r>
          </w:p>
        </w:tc>
        <w:tc>
          <w:tcPr>
            <w:tcW w:w="1147" w:type="pct"/>
            <w:tcBorders>
              <w:top w:val="nil"/>
              <w:left w:val="single" w:sz="4" w:space="0" w:color="auto"/>
              <w:bottom w:val="single" w:sz="4" w:space="0" w:color="auto"/>
              <w:right w:val="single" w:sz="4" w:space="0" w:color="auto"/>
            </w:tcBorders>
            <w:shd w:val="clear" w:color="auto" w:fill="auto"/>
          </w:tcPr>
          <w:p w:rsidR="00B835F0" w:rsidRPr="00252329" w:rsidRDefault="008A1CCD" w:rsidP="00252329">
            <w:pPr>
              <w:widowControl w:val="0"/>
              <w:contextualSpacing/>
              <w:rPr>
                <w:rFonts w:ascii="Palatino Linotype" w:hAnsi="Palatino Linotype"/>
                <w:sz w:val="22"/>
                <w:szCs w:val="22"/>
              </w:rPr>
            </w:pPr>
            <w:r w:rsidRPr="00252329">
              <w:rPr>
                <w:rFonts w:ascii="Palatino Linotype" w:hAnsi="Palatino Linotype"/>
                <w:sz w:val="22"/>
                <w:szCs w:val="22"/>
              </w:rPr>
              <w:t>GR at district Level with agreed engagement framework with NSS/NYKS and DIETS (including clear communication on responsibility, accountability, capacity and accountability)</w:t>
            </w:r>
          </w:p>
        </w:tc>
        <w:tc>
          <w:tcPr>
            <w:tcW w:w="487" w:type="pct"/>
            <w:tcBorders>
              <w:bottom w:val="single" w:sz="4" w:space="0" w:color="auto"/>
            </w:tcBorders>
            <w:shd w:val="clear" w:color="auto" w:fill="FFFFFF"/>
          </w:tcPr>
          <w:p w:rsidR="00B835F0" w:rsidRPr="00252329" w:rsidRDefault="008A1CCD" w:rsidP="00252329">
            <w:pPr>
              <w:widowControl w:val="0"/>
              <w:contextualSpacing/>
              <w:rPr>
                <w:rFonts w:ascii="Palatino Linotype" w:hAnsi="Palatino Linotype"/>
                <w:sz w:val="22"/>
                <w:szCs w:val="22"/>
              </w:rPr>
            </w:pPr>
            <w:r w:rsidRPr="00252329">
              <w:rPr>
                <w:rFonts w:ascii="Palatino Linotype" w:hAnsi="Palatino Linotype"/>
                <w:sz w:val="22"/>
                <w:szCs w:val="22"/>
              </w:rPr>
              <w:t>quarter 2</w:t>
            </w:r>
          </w:p>
        </w:tc>
        <w:tc>
          <w:tcPr>
            <w:tcW w:w="713" w:type="pct"/>
            <w:tcBorders>
              <w:bottom w:val="single" w:sz="4" w:space="0" w:color="auto"/>
            </w:tcBorders>
            <w:shd w:val="clear" w:color="auto" w:fill="auto"/>
          </w:tcPr>
          <w:p w:rsidR="00B835F0" w:rsidRPr="00252329" w:rsidRDefault="008A1CCD" w:rsidP="00252329">
            <w:pPr>
              <w:pStyle w:val="BodyText2"/>
              <w:widowControl w:val="0"/>
              <w:contextualSpacing/>
              <w:jc w:val="left"/>
              <w:rPr>
                <w:rFonts w:ascii="Palatino Linotype" w:hAnsi="Palatino Linotype"/>
                <w:sz w:val="22"/>
                <w:szCs w:val="22"/>
                <w:lang w:val="en-AU"/>
              </w:rPr>
            </w:pPr>
            <w:r w:rsidRPr="00252329">
              <w:rPr>
                <w:rFonts w:ascii="Palatino Linotype" w:hAnsi="Palatino Linotype"/>
                <w:sz w:val="22"/>
                <w:szCs w:val="22"/>
                <w:lang w:val="en-AU"/>
              </w:rPr>
              <w:t>5 Days</w:t>
            </w:r>
          </w:p>
        </w:tc>
        <w:tc>
          <w:tcPr>
            <w:tcW w:w="487" w:type="pct"/>
            <w:tcBorders>
              <w:bottom w:val="single" w:sz="4" w:space="0" w:color="auto"/>
            </w:tcBorders>
            <w:shd w:val="clear" w:color="auto" w:fill="FBD4B4"/>
          </w:tcPr>
          <w:p w:rsidR="00B835F0" w:rsidRPr="00252329" w:rsidRDefault="00B835F0" w:rsidP="00252329">
            <w:pPr>
              <w:pStyle w:val="BodyText2"/>
              <w:widowControl w:val="0"/>
              <w:contextualSpacing/>
              <w:jc w:val="left"/>
              <w:rPr>
                <w:rFonts w:ascii="Palatino Linotype" w:hAnsi="Palatino Linotype"/>
                <w:sz w:val="22"/>
                <w:szCs w:val="22"/>
                <w:lang w:val="en-AU"/>
              </w:rPr>
            </w:pPr>
          </w:p>
        </w:tc>
        <w:tc>
          <w:tcPr>
            <w:tcW w:w="638" w:type="pct"/>
            <w:tcBorders>
              <w:bottom w:val="single" w:sz="4" w:space="0" w:color="auto"/>
            </w:tcBorders>
            <w:shd w:val="clear" w:color="auto" w:fill="FBD4B4"/>
          </w:tcPr>
          <w:p w:rsidR="00B835F0" w:rsidRPr="00252329" w:rsidRDefault="00B835F0" w:rsidP="00252329">
            <w:pPr>
              <w:widowControl w:val="0"/>
              <w:contextualSpacing/>
              <w:rPr>
                <w:rFonts w:ascii="Palatino Linotype" w:hAnsi="Palatino Linotype"/>
                <w:bCs/>
                <w:sz w:val="22"/>
                <w:szCs w:val="22"/>
              </w:rPr>
            </w:pPr>
          </w:p>
        </w:tc>
      </w:tr>
      <w:tr w:rsidR="00252329" w:rsidRPr="00252329" w:rsidTr="00252329">
        <w:trPr>
          <w:trHeight w:val="269"/>
        </w:trPr>
        <w:tc>
          <w:tcPr>
            <w:tcW w:w="189" w:type="pct"/>
            <w:tcBorders>
              <w:bottom w:val="single" w:sz="4" w:space="0" w:color="auto"/>
            </w:tcBorders>
          </w:tcPr>
          <w:p w:rsidR="00F916EC" w:rsidRPr="00252329" w:rsidRDefault="00F916EC" w:rsidP="00252329">
            <w:pPr>
              <w:widowControl w:val="0"/>
              <w:contextualSpacing/>
              <w:rPr>
                <w:rFonts w:ascii="Palatino Linotype" w:hAnsi="Palatino Linotype"/>
                <w:sz w:val="22"/>
                <w:szCs w:val="22"/>
              </w:rPr>
            </w:pPr>
          </w:p>
        </w:tc>
        <w:tc>
          <w:tcPr>
            <w:tcW w:w="1338" w:type="pct"/>
            <w:tcBorders>
              <w:top w:val="single" w:sz="4" w:space="0" w:color="auto"/>
              <w:left w:val="single" w:sz="4" w:space="0" w:color="auto"/>
              <w:bottom w:val="single" w:sz="4" w:space="0" w:color="auto"/>
              <w:right w:val="single" w:sz="4" w:space="0" w:color="auto"/>
            </w:tcBorders>
            <w:shd w:val="clear" w:color="auto" w:fill="auto"/>
            <w:vAlign w:val="center"/>
          </w:tcPr>
          <w:p w:rsidR="00F916EC" w:rsidRPr="00252329" w:rsidRDefault="00F916EC" w:rsidP="00252329">
            <w:pPr>
              <w:widowControl w:val="0"/>
              <w:contextualSpacing/>
              <w:rPr>
                <w:rFonts w:ascii="Palatino Linotype" w:hAnsi="Palatino Linotype"/>
                <w:color w:val="000000"/>
                <w:sz w:val="22"/>
                <w:szCs w:val="22"/>
              </w:rPr>
            </w:pPr>
            <w:r w:rsidRPr="00252329">
              <w:rPr>
                <w:rFonts w:ascii="Palatino Linotype" w:hAnsi="Palatino Linotype"/>
                <w:color w:val="000000"/>
                <w:sz w:val="22"/>
                <w:szCs w:val="22"/>
              </w:rPr>
              <w:t>.</w:t>
            </w:r>
            <w:r w:rsidR="008A1CCD" w:rsidRPr="00252329">
              <w:rPr>
                <w:rFonts w:ascii="Palatino Linotype" w:hAnsi="Palatino Linotype" w:cs="Calibri"/>
                <w:sz w:val="22"/>
                <w:szCs w:val="22"/>
              </w:rPr>
              <w:t xml:space="preserve"> </w:t>
            </w:r>
            <w:r w:rsidR="008A1CCD" w:rsidRPr="00252329">
              <w:rPr>
                <w:rFonts w:ascii="Palatino Linotype" w:hAnsi="Palatino Linotype"/>
                <w:color w:val="000000"/>
                <w:sz w:val="22"/>
                <w:szCs w:val="22"/>
              </w:rPr>
              <w:t>Consultation with District, block and village level PRI representatives leading to development of strategic framework of engagement of PRIs defining roles, review indicators, norms, quality assurance and recognition</w:t>
            </w:r>
          </w:p>
        </w:tc>
        <w:tc>
          <w:tcPr>
            <w:tcW w:w="1147" w:type="pct"/>
            <w:tcBorders>
              <w:top w:val="single" w:sz="4" w:space="0" w:color="auto"/>
              <w:left w:val="nil"/>
              <w:bottom w:val="single" w:sz="4" w:space="0" w:color="auto"/>
              <w:right w:val="single" w:sz="4" w:space="0" w:color="auto"/>
            </w:tcBorders>
            <w:shd w:val="clear" w:color="auto" w:fill="auto"/>
            <w:vAlign w:val="center"/>
          </w:tcPr>
          <w:p w:rsidR="00F916EC" w:rsidRPr="00252329" w:rsidRDefault="008A1CCD" w:rsidP="00252329">
            <w:pPr>
              <w:widowControl w:val="0"/>
              <w:contextualSpacing/>
              <w:rPr>
                <w:rFonts w:ascii="Palatino Linotype" w:hAnsi="Palatino Linotype"/>
                <w:color w:val="000000"/>
                <w:sz w:val="22"/>
                <w:szCs w:val="22"/>
              </w:rPr>
            </w:pPr>
            <w:r w:rsidRPr="00252329">
              <w:rPr>
                <w:rFonts w:ascii="Palatino Linotype" w:hAnsi="Palatino Linotype"/>
                <w:color w:val="000000"/>
                <w:sz w:val="22"/>
                <w:szCs w:val="22"/>
              </w:rPr>
              <w:t>PRI engagement  report with agreed engagement framework with PRI department (including clear communication on responsibility, accountability, capacity and accountability)</w:t>
            </w:r>
          </w:p>
        </w:tc>
        <w:tc>
          <w:tcPr>
            <w:tcW w:w="487" w:type="pct"/>
            <w:tcBorders>
              <w:bottom w:val="single" w:sz="4" w:space="0" w:color="auto"/>
            </w:tcBorders>
            <w:shd w:val="clear" w:color="auto" w:fill="FFFFFF"/>
          </w:tcPr>
          <w:p w:rsidR="00F916EC" w:rsidRPr="00252329" w:rsidRDefault="008A1CCD" w:rsidP="00252329">
            <w:pPr>
              <w:widowControl w:val="0"/>
              <w:contextualSpacing/>
              <w:rPr>
                <w:rFonts w:ascii="Palatino Linotype" w:hAnsi="Palatino Linotype" w:cs="Arial"/>
                <w:sz w:val="22"/>
                <w:szCs w:val="22"/>
              </w:rPr>
            </w:pPr>
            <w:r w:rsidRPr="00252329">
              <w:rPr>
                <w:rFonts w:ascii="Palatino Linotype" w:hAnsi="Palatino Linotype" w:cs="Calibri"/>
                <w:sz w:val="22"/>
                <w:szCs w:val="22"/>
              </w:rPr>
              <w:t>quarter 2</w:t>
            </w:r>
          </w:p>
        </w:tc>
        <w:tc>
          <w:tcPr>
            <w:tcW w:w="713" w:type="pct"/>
            <w:tcBorders>
              <w:bottom w:val="single" w:sz="4" w:space="0" w:color="auto"/>
            </w:tcBorders>
            <w:shd w:val="clear" w:color="auto" w:fill="auto"/>
          </w:tcPr>
          <w:p w:rsidR="00F916EC" w:rsidRPr="00252329" w:rsidRDefault="008A1CCD" w:rsidP="00252329">
            <w:pPr>
              <w:widowControl w:val="0"/>
              <w:contextualSpacing/>
              <w:rPr>
                <w:rFonts w:ascii="Palatino Linotype" w:hAnsi="Palatino Linotype"/>
                <w:sz w:val="22"/>
                <w:szCs w:val="22"/>
                <w:lang w:val="en-AU"/>
              </w:rPr>
            </w:pPr>
            <w:r w:rsidRPr="00252329">
              <w:rPr>
                <w:rFonts w:ascii="Palatino Linotype" w:hAnsi="Palatino Linotype"/>
                <w:sz w:val="22"/>
                <w:szCs w:val="22"/>
                <w:lang w:val="en-AU"/>
              </w:rPr>
              <w:t>5 Days</w:t>
            </w:r>
          </w:p>
        </w:tc>
        <w:tc>
          <w:tcPr>
            <w:tcW w:w="487" w:type="pct"/>
            <w:tcBorders>
              <w:bottom w:val="single" w:sz="4" w:space="0" w:color="auto"/>
            </w:tcBorders>
            <w:shd w:val="clear" w:color="auto" w:fill="FBD4B4"/>
          </w:tcPr>
          <w:p w:rsidR="00F916EC" w:rsidRPr="00252329" w:rsidRDefault="00F916EC" w:rsidP="00252329">
            <w:pPr>
              <w:widowControl w:val="0"/>
              <w:contextualSpacing/>
              <w:rPr>
                <w:rFonts w:ascii="Palatino Linotype" w:hAnsi="Palatino Linotype"/>
                <w:sz w:val="22"/>
                <w:szCs w:val="22"/>
                <w:lang w:val="en-AU"/>
              </w:rPr>
            </w:pPr>
          </w:p>
        </w:tc>
        <w:tc>
          <w:tcPr>
            <w:tcW w:w="638" w:type="pct"/>
            <w:tcBorders>
              <w:bottom w:val="single" w:sz="4" w:space="0" w:color="auto"/>
            </w:tcBorders>
            <w:shd w:val="clear" w:color="auto" w:fill="FBD4B4"/>
          </w:tcPr>
          <w:p w:rsidR="00F916EC" w:rsidRPr="00252329" w:rsidRDefault="00F916EC" w:rsidP="00252329">
            <w:pPr>
              <w:widowControl w:val="0"/>
              <w:contextualSpacing/>
              <w:rPr>
                <w:rFonts w:ascii="Palatino Linotype" w:hAnsi="Palatino Linotype"/>
                <w:bCs/>
                <w:sz w:val="22"/>
                <w:szCs w:val="22"/>
              </w:rPr>
            </w:pPr>
          </w:p>
        </w:tc>
      </w:tr>
      <w:tr w:rsidR="00252329" w:rsidRPr="00252329" w:rsidTr="00252329">
        <w:trPr>
          <w:trHeight w:val="269"/>
        </w:trPr>
        <w:tc>
          <w:tcPr>
            <w:tcW w:w="189" w:type="pct"/>
            <w:tcBorders>
              <w:bottom w:val="single" w:sz="4" w:space="0" w:color="auto"/>
            </w:tcBorders>
          </w:tcPr>
          <w:p w:rsidR="00B835F0" w:rsidRPr="00252329" w:rsidRDefault="00B835F0" w:rsidP="00252329">
            <w:pPr>
              <w:pStyle w:val="ListParagraph"/>
              <w:widowControl w:val="0"/>
              <w:spacing w:line="276" w:lineRule="auto"/>
              <w:ind w:left="0"/>
              <w:rPr>
                <w:rFonts w:ascii="Palatino Linotype" w:hAnsi="Palatino Linotype"/>
                <w:sz w:val="22"/>
                <w:szCs w:val="22"/>
                <w:lang w:val="en-IN"/>
              </w:rPr>
            </w:pPr>
          </w:p>
        </w:tc>
        <w:tc>
          <w:tcPr>
            <w:tcW w:w="1338" w:type="pct"/>
            <w:tcBorders>
              <w:bottom w:val="single" w:sz="4" w:space="0" w:color="auto"/>
            </w:tcBorders>
          </w:tcPr>
          <w:p w:rsidR="00B835F0" w:rsidRPr="00252329" w:rsidRDefault="008A1CCD" w:rsidP="00252329">
            <w:pPr>
              <w:widowControl w:val="0"/>
              <w:contextualSpacing/>
              <w:rPr>
                <w:rFonts w:ascii="Palatino Linotype" w:hAnsi="Palatino Linotype"/>
                <w:sz w:val="22"/>
                <w:szCs w:val="22"/>
              </w:rPr>
            </w:pPr>
            <w:r w:rsidRPr="00252329">
              <w:rPr>
                <w:rFonts w:ascii="Palatino Linotype" w:hAnsi="Palatino Linotype" w:cs="Calibri"/>
                <w:sz w:val="22"/>
                <w:szCs w:val="22"/>
              </w:rPr>
              <w:t>Coordination with design agency towards finalization of multi stakeholder SBCC tool Kit after review of existing tools across Rajasthan and other neighboring states in the Rajasthan Context with special focus on tribal districts</w:t>
            </w:r>
          </w:p>
        </w:tc>
        <w:tc>
          <w:tcPr>
            <w:tcW w:w="1147" w:type="pct"/>
            <w:tcBorders>
              <w:top w:val="nil"/>
              <w:left w:val="single" w:sz="4" w:space="0" w:color="auto"/>
              <w:bottom w:val="single" w:sz="4" w:space="0" w:color="auto"/>
              <w:right w:val="single" w:sz="4" w:space="0" w:color="auto"/>
            </w:tcBorders>
            <w:shd w:val="clear" w:color="auto" w:fill="auto"/>
          </w:tcPr>
          <w:p w:rsidR="00B835F0" w:rsidRPr="00252329" w:rsidRDefault="00B835F0" w:rsidP="00252329">
            <w:pPr>
              <w:widowControl w:val="0"/>
              <w:tabs>
                <w:tab w:val="center" w:pos="728"/>
              </w:tabs>
              <w:contextualSpacing/>
              <w:rPr>
                <w:rFonts w:ascii="Palatino Linotype" w:hAnsi="Palatino Linotype"/>
                <w:sz w:val="22"/>
                <w:szCs w:val="22"/>
              </w:rPr>
            </w:pPr>
            <w:r w:rsidRPr="00252329">
              <w:rPr>
                <w:rFonts w:ascii="Palatino Linotype" w:hAnsi="Palatino Linotype"/>
                <w:sz w:val="22"/>
                <w:szCs w:val="22"/>
              </w:rPr>
              <w:t xml:space="preserve"> </w:t>
            </w:r>
            <w:r w:rsidR="008A1CCD" w:rsidRPr="00252329">
              <w:rPr>
                <w:rFonts w:ascii="Palatino Linotype" w:hAnsi="Palatino Linotype"/>
                <w:sz w:val="22"/>
                <w:szCs w:val="22"/>
              </w:rPr>
              <w:tab/>
              <w:t>Draft of multi stakeholder tool kit with key recommendations included</w:t>
            </w:r>
          </w:p>
        </w:tc>
        <w:tc>
          <w:tcPr>
            <w:tcW w:w="487" w:type="pct"/>
            <w:tcBorders>
              <w:bottom w:val="single" w:sz="4" w:space="0" w:color="auto"/>
            </w:tcBorders>
            <w:shd w:val="clear" w:color="auto" w:fill="FFFFFF"/>
          </w:tcPr>
          <w:p w:rsidR="00B835F0" w:rsidRPr="00252329" w:rsidRDefault="008A1CCD" w:rsidP="00252329">
            <w:pPr>
              <w:widowControl w:val="0"/>
              <w:contextualSpacing/>
              <w:rPr>
                <w:rFonts w:ascii="Palatino Linotype" w:hAnsi="Palatino Linotype"/>
                <w:sz w:val="22"/>
                <w:szCs w:val="22"/>
              </w:rPr>
            </w:pPr>
            <w:r w:rsidRPr="00252329">
              <w:rPr>
                <w:rFonts w:ascii="Palatino Linotype" w:hAnsi="Palatino Linotype"/>
                <w:sz w:val="22"/>
                <w:szCs w:val="22"/>
              </w:rPr>
              <w:t>Quarter 1</w:t>
            </w:r>
          </w:p>
        </w:tc>
        <w:tc>
          <w:tcPr>
            <w:tcW w:w="713" w:type="pct"/>
            <w:tcBorders>
              <w:bottom w:val="single" w:sz="4" w:space="0" w:color="auto"/>
            </w:tcBorders>
            <w:shd w:val="clear" w:color="auto" w:fill="auto"/>
          </w:tcPr>
          <w:p w:rsidR="00B835F0" w:rsidRPr="00252329" w:rsidRDefault="00252329" w:rsidP="00252329">
            <w:pPr>
              <w:pStyle w:val="BodyText2"/>
              <w:widowControl w:val="0"/>
              <w:contextualSpacing/>
              <w:jc w:val="left"/>
              <w:rPr>
                <w:rFonts w:ascii="Palatino Linotype" w:hAnsi="Palatino Linotype"/>
                <w:sz w:val="22"/>
                <w:szCs w:val="22"/>
                <w:lang w:val="en-AU"/>
              </w:rPr>
            </w:pPr>
            <w:r w:rsidRPr="00252329">
              <w:rPr>
                <w:rFonts w:ascii="Palatino Linotype" w:hAnsi="Palatino Linotype"/>
                <w:sz w:val="22"/>
                <w:szCs w:val="22"/>
                <w:lang w:val="en-AU"/>
              </w:rPr>
              <w:t>0</w:t>
            </w:r>
            <w:r>
              <w:rPr>
                <w:rFonts w:ascii="Palatino Linotype" w:hAnsi="Palatino Linotype"/>
                <w:sz w:val="22"/>
                <w:szCs w:val="22"/>
                <w:lang w:val="en-AU"/>
              </w:rPr>
              <w:t xml:space="preserve"> Days</w:t>
            </w:r>
          </w:p>
        </w:tc>
        <w:tc>
          <w:tcPr>
            <w:tcW w:w="487" w:type="pct"/>
            <w:tcBorders>
              <w:bottom w:val="single" w:sz="4" w:space="0" w:color="auto"/>
            </w:tcBorders>
            <w:shd w:val="clear" w:color="auto" w:fill="FBD4B4"/>
          </w:tcPr>
          <w:p w:rsidR="00B835F0" w:rsidRPr="00252329" w:rsidRDefault="00B835F0" w:rsidP="00252329">
            <w:pPr>
              <w:widowControl w:val="0"/>
              <w:contextualSpacing/>
              <w:rPr>
                <w:rFonts w:ascii="Palatino Linotype" w:hAnsi="Palatino Linotype"/>
                <w:sz w:val="22"/>
                <w:szCs w:val="22"/>
              </w:rPr>
            </w:pPr>
          </w:p>
        </w:tc>
        <w:tc>
          <w:tcPr>
            <w:tcW w:w="638" w:type="pct"/>
            <w:tcBorders>
              <w:bottom w:val="single" w:sz="4" w:space="0" w:color="auto"/>
            </w:tcBorders>
            <w:shd w:val="clear" w:color="auto" w:fill="FBD4B4"/>
          </w:tcPr>
          <w:p w:rsidR="00B835F0" w:rsidRPr="00252329" w:rsidRDefault="00B835F0" w:rsidP="00252329">
            <w:pPr>
              <w:widowControl w:val="0"/>
              <w:contextualSpacing/>
              <w:rPr>
                <w:rFonts w:ascii="Palatino Linotype" w:hAnsi="Palatino Linotype"/>
                <w:sz w:val="22"/>
                <w:szCs w:val="22"/>
              </w:rPr>
            </w:pPr>
          </w:p>
        </w:tc>
      </w:tr>
      <w:tr w:rsidR="008A1CCD" w:rsidRPr="00252329" w:rsidTr="00252329">
        <w:trPr>
          <w:trHeight w:val="269"/>
        </w:trPr>
        <w:tc>
          <w:tcPr>
            <w:tcW w:w="189" w:type="pct"/>
            <w:tcBorders>
              <w:bottom w:val="single" w:sz="4" w:space="0" w:color="auto"/>
            </w:tcBorders>
          </w:tcPr>
          <w:p w:rsidR="008A1CCD" w:rsidRPr="00252329" w:rsidRDefault="008A1CCD" w:rsidP="00252329">
            <w:pPr>
              <w:pStyle w:val="ListParagraph"/>
              <w:widowControl w:val="0"/>
              <w:spacing w:line="276" w:lineRule="auto"/>
              <w:ind w:left="0"/>
              <w:rPr>
                <w:rFonts w:ascii="Palatino Linotype" w:hAnsi="Palatino Linotype"/>
                <w:sz w:val="22"/>
                <w:szCs w:val="22"/>
                <w:lang w:val="en-IN"/>
              </w:rPr>
            </w:pPr>
          </w:p>
        </w:tc>
        <w:tc>
          <w:tcPr>
            <w:tcW w:w="1338" w:type="pct"/>
            <w:tcBorders>
              <w:bottom w:val="single" w:sz="4" w:space="0" w:color="auto"/>
            </w:tcBorders>
          </w:tcPr>
          <w:p w:rsidR="008A1CCD" w:rsidRPr="00252329" w:rsidRDefault="008A1CCD" w:rsidP="00252329">
            <w:pPr>
              <w:widowControl w:val="0"/>
              <w:contextualSpacing/>
              <w:rPr>
                <w:rFonts w:ascii="Palatino Linotype" w:hAnsi="Palatino Linotype"/>
                <w:sz w:val="22"/>
                <w:szCs w:val="22"/>
              </w:rPr>
            </w:pPr>
            <w:r w:rsidRPr="00252329">
              <w:rPr>
                <w:rFonts w:ascii="Palatino Linotype" w:hAnsi="Palatino Linotype"/>
                <w:sz w:val="22"/>
                <w:szCs w:val="22"/>
              </w:rPr>
              <w:t>Facilitation of the documentation of Most Significant changes, processes and outcomes</w:t>
            </w:r>
          </w:p>
        </w:tc>
        <w:tc>
          <w:tcPr>
            <w:tcW w:w="1147" w:type="pct"/>
            <w:tcBorders>
              <w:top w:val="nil"/>
              <w:left w:val="single" w:sz="4" w:space="0" w:color="auto"/>
              <w:bottom w:val="single" w:sz="4" w:space="0" w:color="auto"/>
              <w:right w:val="single" w:sz="4" w:space="0" w:color="auto"/>
            </w:tcBorders>
            <w:shd w:val="clear" w:color="auto" w:fill="auto"/>
          </w:tcPr>
          <w:p w:rsidR="008A1CCD" w:rsidRPr="00252329" w:rsidRDefault="008A1CCD" w:rsidP="00252329">
            <w:pPr>
              <w:widowControl w:val="0"/>
              <w:contextualSpacing/>
              <w:rPr>
                <w:rFonts w:ascii="Palatino Linotype" w:hAnsi="Palatino Linotype"/>
                <w:sz w:val="22"/>
                <w:szCs w:val="22"/>
              </w:rPr>
            </w:pPr>
            <w:r w:rsidRPr="00252329">
              <w:rPr>
                <w:rFonts w:ascii="Palatino Linotype" w:hAnsi="Palatino Linotype"/>
                <w:sz w:val="22"/>
                <w:szCs w:val="22"/>
              </w:rPr>
              <w:t>experience sharing document of 5 districts with about 15 success stories of change</w:t>
            </w:r>
          </w:p>
        </w:tc>
        <w:tc>
          <w:tcPr>
            <w:tcW w:w="487" w:type="pct"/>
            <w:tcBorders>
              <w:bottom w:val="single" w:sz="4" w:space="0" w:color="auto"/>
            </w:tcBorders>
            <w:shd w:val="clear" w:color="auto" w:fill="FFFFFF"/>
          </w:tcPr>
          <w:p w:rsidR="008A1CCD" w:rsidRPr="00252329" w:rsidRDefault="008A1CCD" w:rsidP="00252329">
            <w:pPr>
              <w:widowControl w:val="0"/>
              <w:contextualSpacing/>
              <w:rPr>
                <w:rFonts w:ascii="Palatino Linotype" w:hAnsi="Palatino Linotype"/>
                <w:sz w:val="22"/>
                <w:szCs w:val="22"/>
              </w:rPr>
            </w:pPr>
            <w:r w:rsidRPr="00252329">
              <w:rPr>
                <w:rFonts w:ascii="Palatino Linotype" w:hAnsi="Palatino Linotype"/>
                <w:sz w:val="22"/>
                <w:szCs w:val="22"/>
              </w:rPr>
              <w:t>quarter 3</w:t>
            </w:r>
          </w:p>
        </w:tc>
        <w:tc>
          <w:tcPr>
            <w:tcW w:w="713" w:type="pct"/>
            <w:tcBorders>
              <w:bottom w:val="single" w:sz="4" w:space="0" w:color="auto"/>
            </w:tcBorders>
            <w:shd w:val="clear" w:color="auto" w:fill="auto"/>
          </w:tcPr>
          <w:p w:rsidR="008A1CCD" w:rsidRPr="00252329" w:rsidRDefault="00252329" w:rsidP="00252329">
            <w:pPr>
              <w:pStyle w:val="BodyText2"/>
              <w:widowControl w:val="0"/>
              <w:contextualSpacing/>
              <w:jc w:val="left"/>
              <w:rPr>
                <w:rFonts w:ascii="Palatino Linotype" w:hAnsi="Palatino Linotype"/>
                <w:sz w:val="22"/>
                <w:szCs w:val="22"/>
                <w:lang w:val="en-AU"/>
              </w:rPr>
            </w:pPr>
            <w:r w:rsidRPr="00252329">
              <w:rPr>
                <w:rFonts w:ascii="Palatino Linotype" w:hAnsi="Palatino Linotype"/>
                <w:sz w:val="22"/>
                <w:szCs w:val="22"/>
                <w:lang w:val="en-AU"/>
              </w:rPr>
              <w:t xml:space="preserve">10 </w:t>
            </w:r>
            <w:r w:rsidR="008A1CCD" w:rsidRPr="00252329">
              <w:rPr>
                <w:rFonts w:ascii="Palatino Linotype" w:hAnsi="Palatino Linotype"/>
                <w:sz w:val="22"/>
                <w:szCs w:val="22"/>
                <w:lang w:val="en-AU"/>
              </w:rPr>
              <w:t>days</w:t>
            </w:r>
          </w:p>
        </w:tc>
        <w:tc>
          <w:tcPr>
            <w:tcW w:w="487" w:type="pct"/>
            <w:tcBorders>
              <w:bottom w:val="single" w:sz="4" w:space="0" w:color="auto"/>
            </w:tcBorders>
            <w:shd w:val="clear" w:color="auto" w:fill="FBD4B4"/>
          </w:tcPr>
          <w:p w:rsidR="008A1CCD" w:rsidRPr="00252329" w:rsidRDefault="008A1CCD" w:rsidP="00252329">
            <w:pPr>
              <w:widowControl w:val="0"/>
              <w:contextualSpacing/>
              <w:rPr>
                <w:rFonts w:ascii="Palatino Linotype" w:hAnsi="Palatino Linotype"/>
                <w:sz w:val="22"/>
                <w:szCs w:val="22"/>
              </w:rPr>
            </w:pPr>
          </w:p>
        </w:tc>
        <w:tc>
          <w:tcPr>
            <w:tcW w:w="638" w:type="pct"/>
            <w:tcBorders>
              <w:bottom w:val="single" w:sz="4" w:space="0" w:color="auto"/>
            </w:tcBorders>
            <w:shd w:val="clear" w:color="auto" w:fill="FBD4B4"/>
          </w:tcPr>
          <w:p w:rsidR="008A1CCD" w:rsidRPr="00252329" w:rsidRDefault="008A1CCD" w:rsidP="00252329">
            <w:pPr>
              <w:widowControl w:val="0"/>
              <w:contextualSpacing/>
              <w:rPr>
                <w:rFonts w:ascii="Palatino Linotype" w:hAnsi="Palatino Linotype"/>
                <w:sz w:val="22"/>
                <w:szCs w:val="22"/>
              </w:rPr>
            </w:pPr>
          </w:p>
        </w:tc>
      </w:tr>
      <w:tr w:rsidR="008A1CCD" w:rsidRPr="00252329" w:rsidTr="00252329">
        <w:trPr>
          <w:trHeight w:val="269"/>
        </w:trPr>
        <w:tc>
          <w:tcPr>
            <w:tcW w:w="189" w:type="pct"/>
            <w:tcBorders>
              <w:bottom w:val="single" w:sz="4" w:space="0" w:color="auto"/>
            </w:tcBorders>
          </w:tcPr>
          <w:p w:rsidR="008A1CCD" w:rsidRPr="00252329" w:rsidRDefault="008A1CCD" w:rsidP="00252329">
            <w:pPr>
              <w:pStyle w:val="ListParagraph"/>
              <w:widowControl w:val="0"/>
              <w:spacing w:line="276" w:lineRule="auto"/>
              <w:ind w:left="0"/>
              <w:rPr>
                <w:rFonts w:ascii="Palatino Linotype" w:hAnsi="Palatino Linotype"/>
                <w:sz w:val="22"/>
                <w:szCs w:val="22"/>
                <w:lang w:val="en-IN"/>
              </w:rPr>
            </w:pPr>
          </w:p>
        </w:tc>
        <w:tc>
          <w:tcPr>
            <w:tcW w:w="1338" w:type="pct"/>
            <w:tcBorders>
              <w:bottom w:val="single" w:sz="4" w:space="0" w:color="auto"/>
            </w:tcBorders>
          </w:tcPr>
          <w:p w:rsidR="008A1CCD" w:rsidRPr="00252329" w:rsidRDefault="008A1CCD" w:rsidP="00252329">
            <w:pPr>
              <w:widowControl w:val="0"/>
              <w:contextualSpacing/>
              <w:rPr>
                <w:rFonts w:ascii="Palatino Linotype" w:hAnsi="Palatino Linotype"/>
                <w:sz w:val="22"/>
                <w:szCs w:val="22"/>
              </w:rPr>
            </w:pPr>
            <w:r w:rsidRPr="00252329">
              <w:rPr>
                <w:rFonts w:ascii="Palatino Linotype" w:hAnsi="Palatino Linotype"/>
                <w:sz w:val="22"/>
                <w:szCs w:val="22"/>
              </w:rPr>
              <w:t xml:space="preserve">Provide SBCC orientation in ongoing capacity building </w:t>
            </w:r>
            <w:proofErr w:type="spellStart"/>
            <w:r w:rsidRPr="00252329">
              <w:rPr>
                <w:rFonts w:ascii="Palatino Linotype" w:hAnsi="Palatino Linotype"/>
                <w:sz w:val="22"/>
                <w:szCs w:val="22"/>
              </w:rPr>
              <w:t>programmes</w:t>
            </w:r>
            <w:proofErr w:type="spellEnd"/>
            <w:r w:rsidRPr="00252329">
              <w:rPr>
                <w:rFonts w:ascii="Palatino Linotype" w:hAnsi="Palatino Linotype"/>
                <w:sz w:val="22"/>
                <w:szCs w:val="22"/>
              </w:rPr>
              <w:t xml:space="preserve"> for district resource group and training institutions  across 15days</w:t>
            </w:r>
          </w:p>
        </w:tc>
        <w:tc>
          <w:tcPr>
            <w:tcW w:w="1147" w:type="pct"/>
            <w:tcBorders>
              <w:top w:val="nil"/>
              <w:left w:val="single" w:sz="4" w:space="0" w:color="auto"/>
              <w:bottom w:val="single" w:sz="4" w:space="0" w:color="auto"/>
              <w:right w:val="single" w:sz="4" w:space="0" w:color="auto"/>
            </w:tcBorders>
            <w:shd w:val="clear" w:color="auto" w:fill="auto"/>
          </w:tcPr>
          <w:p w:rsidR="008A1CCD" w:rsidRPr="00252329" w:rsidRDefault="008A1CCD" w:rsidP="00252329">
            <w:pPr>
              <w:widowControl w:val="0"/>
              <w:contextualSpacing/>
              <w:rPr>
                <w:rFonts w:ascii="Palatino Linotype" w:hAnsi="Palatino Linotype"/>
                <w:sz w:val="22"/>
                <w:szCs w:val="22"/>
              </w:rPr>
            </w:pPr>
            <w:r w:rsidRPr="00252329">
              <w:rPr>
                <w:rFonts w:ascii="Palatino Linotype" w:hAnsi="Palatino Linotype"/>
                <w:sz w:val="22"/>
                <w:szCs w:val="22"/>
              </w:rPr>
              <w:t xml:space="preserve">consolidated report of Orientation agenda in multiple stakeholder capacity building </w:t>
            </w:r>
            <w:proofErr w:type="spellStart"/>
            <w:r w:rsidRPr="00252329">
              <w:rPr>
                <w:rFonts w:ascii="Palatino Linotype" w:hAnsi="Palatino Linotype"/>
                <w:sz w:val="22"/>
                <w:szCs w:val="22"/>
              </w:rPr>
              <w:t>programmes</w:t>
            </w:r>
            <w:proofErr w:type="spellEnd"/>
          </w:p>
        </w:tc>
        <w:tc>
          <w:tcPr>
            <w:tcW w:w="487" w:type="pct"/>
            <w:tcBorders>
              <w:bottom w:val="single" w:sz="4" w:space="0" w:color="auto"/>
            </w:tcBorders>
            <w:shd w:val="clear" w:color="auto" w:fill="FFFFFF"/>
          </w:tcPr>
          <w:p w:rsidR="008A1CCD" w:rsidRPr="00252329" w:rsidRDefault="008A1CCD" w:rsidP="00252329">
            <w:pPr>
              <w:widowControl w:val="0"/>
              <w:contextualSpacing/>
              <w:rPr>
                <w:rFonts w:ascii="Palatino Linotype" w:hAnsi="Palatino Linotype"/>
                <w:sz w:val="22"/>
                <w:szCs w:val="22"/>
              </w:rPr>
            </w:pPr>
            <w:r w:rsidRPr="00252329">
              <w:rPr>
                <w:rFonts w:ascii="Palatino Linotype" w:hAnsi="Palatino Linotype"/>
                <w:sz w:val="22"/>
                <w:szCs w:val="22"/>
              </w:rPr>
              <w:t>quarter 3</w:t>
            </w:r>
          </w:p>
        </w:tc>
        <w:tc>
          <w:tcPr>
            <w:tcW w:w="713" w:type="pct"/>
            <w:tcBorders>
              <w:bottom w:val="single" w:sz="4" w:space="0" w:color="auto"/>
            </w:tcBorders>
            <w:shd w:val="clear" w:color="auto" w:fill="auto"/>
          </w:tcPr>
          <w:p w:rsidR="008A1CCD" w:rsidRPr="00252329" w:rsidRDefault="008A1CCD" w:rsidP="00252329">
            <w:pPr>
              <w:pStyle w:val="BodyText2"/>
              <w:widowControl w:val="0"/>
              <w:contextualSpacing/>
              <w:jc w:val="left"/>
              <w:rPr>
                <w:rFonts w:ascii="Palatino Linotype" w:hAnsi="Palatino Linotype"/>
                <w:sz w:val="22"/>
                <w:szCs w:val="22"/>
                <w:lang w:val="en-AU"/>
              </w:rPr>
            </w:pPr>
            <w:r w:rsidRPr="00252329">
              <w:rPr>
                <w:rFonts w:ascii="Palatino Linotype" w:hAnsi="Palatino Linotype"/>
                <w:sz w:val="22"/>
                <w:szCs w:val="22"/>
                <w:lang w:val="en-AU"/>
              </w:rPr>
              <w:t>15 Days</w:t>
            </w:r>
          </w:p>
        </w:tc>
        <w:tc>
          <w:tcPr>
            <w:tcW w:w="487" w:type="pct"/>
            <w:tcBorders>
              <w:bottom w:val="single" w:sz="4" w:space="0" w:color="auto"/>
            </w:tcBorders>
            <w:shd w:val="clear" w:color="auto" w:fill="FBD4B4"/>
          </w:tcPr>
          <w:p w:rsidR="008A1CCD" w:rsidRPr="00252329" w:rsidRDefault="008A1CCD" w:rsidP="00252329">
            <w:pPr>
              <w:widowControl w:val="0"/>
              <w:contextualSpacing/>
              <w:rPr>
                <w:rFonts w:ascii="Palatino Linotype" w:hAnsi="Palatino Linotype"/>
                <w:sz w:val="22"/>
                <w:szCs w:val="22"/>
              </w:rPr>
            </w:pPr>
          </w:p>
        </w:tc>
        <w:tc>
          <w:tcPr>
            <w:tcW w:w="638" w:type="pct"/>
            <w:tcBorders>
              <w:bottom w:val="single" w:sz="4" w:space="0" w:color="auto"/>
            </w:tcBorders>
            <w:shd w:val="clear" w:color="auto" w:fill="FBD4B4"/>
          </w:tcPr>
          <w:p w:rsidR="008A1CCD" w:rsidRPr="00252329" w:rsidRDefault="008A1CCD" w:rsidP="00252329">
            <w:pPr>
              <w:widowControl w:val="0"/>
              <w:contextualSpacing/>
              <w:rPr>
                <w:rFonts w:ascii="Palatino Linotype" w:hAnsi="Palatino Linotype"/>
                <w:sz w:val="22"/>
                <w:szCs w:val="22"/>
              </w:rPr>
            </w:pPr>
          </w:p>
        </w:tc>
      </w:tr>
      <w:tr w:rsidR="00252329" w:rsidRPr="00252329" w:rsidTr="00252329">
        <w:trPr>
          <w:trHeight w:val="269"/>
        </w:trPr>
        <w:tc>
          <w:tcPr>
            <w:tcW w:w="189" w:type="pct"/>
            <w:tcBorders>
              <w:bottom w:val="single" w:sz="4" w:space="0" w:color="auto"/>
            </w:tcBorders>
          </w:tcPr>
          <w:p w:rsidR="00B835F0" w:rsidRPr="00252329" w:rsidRDefault="00B835F0" w:rsidP="00252329">
            <w:pPr>
              <w:pStyle w:val="ListParagraph"/>
              <w:widowControl w:val="0"/>
              <w:spacing w:line="276" w:lineRule="auto"/>
              <w:ind w:left="0"/>
              <w:rPr>
                <w:rFonts w:ascii="Palatino Linotype" w:hAnsi="Palatino Linotype"/>
                <w:sz w:val="22"/>
                <w:szCs w:val="22"/>
                <w:lang w:val="en-IN"/>
              </w:rPr>
            </w:pPr>
          </w:p>
        </w:tc>
        <w:tc>
          <w:tcPr>
            <w:tcW w:w="1338" w:type="pct"/>
            <w:tcBorders>
              <w:bottom w:val="single" w:sz="4" w:space="0" w:color="auto"/>
            </w:tcBorders>
          </w:tcPr>
          <w:p w:rsidR="00B835F0" w:rsidRPr="00252329" w:rsidRDefault="008A1CCD" w:rsidP="00252329">
            <w:pPr>
              <w:widowControl w:val="0"/>
              <w:contextualSpacing/>
              <w:rPr>
                <w:rFonts w:ascii="Palatino Linotype" w:hAnsi="Palatino Linotype"/>
                <w:sz w:val="22"/>
                <w:szCs w:val="22"/>
              </w:rPr>
            </w:pPr>
            <w:r w:rsidRPr="00252329">
              <w:rPr>
                <w:rFonts w:ascii="Palatino Linotype" w:hAnsi="Palatino Linotype"/>
                <w:sz w:val="22"/>
                <w:szCs w:val="22"/>
              </w:rPr>
              <w:t>Organize state level Tribal consultation Dissemination of successful initiatives</w:t>
            </w:r>
          </w:p>
        </w:tc>
        <w:tc>
          <w:tcPr>
            <w:tcW w:w="1147" w:type="pct"/>
            <w:tcBorders>
              <w:top w:val="nil"/>
              <w:left w:val="single" w:sz="4" w:space="0" w:color="auto"/>
              <w:bottom w:val="single" w:sz="4" w:space="0" w:color="auto"/>
              <w:right w:val="single" w:sz="4" w:space="0" w:color="auto"/>
            </w:tcBorders>
            <w:shd w:val="clear" w:color="auto" w:fill="auto"/>
          </w:tcPr>
          <w:p w:rsidR="00B835F0" w:rsidRPr="00252329" w:rsidRDefault="008A1CCD" w:rsidP="00252329">
            <w:pPr>
              <w:widowControl w:val="0"/>
              <w:contextualSpacing/>
              <w:rPr>
                <w:rFonts w:ascii="Palatino Linotype" w:hAnsi="Palatino Linotype"/>
                <w:sz w:val="22"/>
                <w:szCs w:val="22"/>
              </w:rPr>
            </w:pPr>
            <w:r w:rsidRPr="00252329">
              <w:rPr>
                <w:rFonts w:ascii="Palatino Linotype" w:hAnsi="Palatino Linotype"/>
                <w:sz w:val="22"/>
                <w:szCs w:val="22"/>
              </w:rPr>
              <w:t>Tribal consultation report with recommendations advocacy for upscale</w:t>
            </w:r>
          </w:p>
        </w:tc>
        <w:tc>
          <w:tcPr>
            <w:tcW w:w="487" w:type="pct"/>
            <w:tcBorders>
              <w:bottom w:val="single" w:sz="4" w:space="0" w:color="auto"/>
            </w:tcBorders>
            <w:shd w:val="clear" w:color="auto" w:fill="FFFFFF"/>
          </w:tcPr>
          <w:p w:rsidR="00B835F0" w:rsidRPr="00252329" w:rsidRDefault="008A1CCD" w:rsidP="00252329">
            <w:pPr>
              <w:widowControl w:val="0"/>
              <w:contextualSpacing/>
              <w:rPr>
                <w:rFonts w:ascii="Palatino Linotype" w:hAnsi="Palatino Linotype"/>
                <w:sz w:val="22"/>
                <w:szCs w:val="22"/>
              </w:rPr>
            </w:pPr>
            <w:r w:rsidRPr="00252329">
              <w:rPr>
                <w:rFonts w:ascii="Palatino Linotype" w:hAnsi="Palatino Linotype"/>
                <w:sz w:val="22"/>
                <w:szCs w:val="22"/>
              </w:rPr>
              <w:t>quarter 3</w:t>
            </w:r>
          </w:p>
        </w:tc>
        <w:tc>
          <w:tcPr>
            <w:tcW w:w="713" w:type="pct"/>
            <w:tcBorders>
              <w:bottom w:val="single" w:sz="4" w:space="0" w:color="auto"/>
            </w:tcBorders>
            <w:shd w:val="clear" w:color="auto" w:fill="auto"/>
          </w:tcPr>
          <w:p w:rsidR="00B835F0" w:rsidRPr="00252329" w:rsidRDefault="00252329" w:rsidP="00252329">
            <w:pPr>
              <w:pStyle w:val="BodyText2"/>
              <w:widowControl w:val="0"/>
              <w:contextualSpacing/>
              <w:jc w:val="left"/>
              <w:rPr>
                <w:rFonts w:ascii="Palatino Linotype" w:hAnsi="Palatino Linotype"/>
                <w:sz w:val="22"/>
                <w:szCs w:val="22"/>
                <w:lang w:val="en-AU"/>
              </w:rPr>
            </w:pPr>
            <w:r w:rsidRPr="00252329">
              <w:rPr>
                <w:rFonts w:ascii="Palatino Linotype" w:hAnsi="Palatino Linotype"/>
                <w:sz w:val="22"/>
                <w:szCs w:val="22"/>
                <w:lang w:val="en-AU"/>
              </w:rPr>
              <w:t>5</w:t>
            </w:r>
            <w:r w:rsidR="008A1CCD" w:rsidRPr="00252329">
              <w:rPr>
                <w:rFonts w:ascii="Palatino Linotype" w:hAnsi="Palatino Linotype"/>
                <w:sz w:val="22"/>
                <w:szCs w:val="22"/>
                <w:lang w:val="en-AU"/>
              </w:rPr>
              <w:t xml:space="preserve"> Days</w:t>
            </w:r>
          </w:p>
        </w:tc>
        <w:tc>
          <w:tcPr>
            <w:tcW w:w="487" w:type="pct"/>
            <w:tcBorders>
              <w:bottom w:val="single" w:sz="4" w:space="0" w:color="auto"/>
            </w:tcBorders>
            <w:shd w:val="clear" w:color="auto" w:fill="FBD4B4"/>
          </w:tcPr>
          <w:p w:rsidR="00B835F0" w:rsidRPr="00252329" w:rsidRDefault="00B835F0" w:rsidP="00252329">
            <w:pPr>
              <w:widowControl w:val="0"/>
              <w:contextualSpacing/>
              <w:rPr>
                <w:rFonts w:ascii="Palatino Linotype" w:hAnsi="Palatino Linotype"/>
                <w:sz w:val="22"/>
                <w:szCs w:val="22"/>
              </w:rPr>
            </w:pPr>
          </w:p>
        </w:tc>
        <w:tc>
          <w:tcPr>
            <w:tcW w:w="638" w:type="pct"/>
            <w:tcBorders>
              <w:bottom w:val="single" w:sz="4" w:space="0" w:color="auto"/>
            </w:tcBorders>
            <w:shd w:val="clear" w:color="auto" w:fill="FBD4B4"/>
          </w:tcPr>
          <w:p w:rsidR="00B835F0" w:rsidRPr="00252329" w:rsidRDefault="00B835F0" w:rsidP="00252329">
            <w:pPr>
              <w:widowControl w:val="0"/>
              <w:contextualSpacing/>
              <w:rPr>
                <w:rFonts w:ascii="Palatino Linotype" w:hAnsi="Palatino Linotype"/>
                <w:sz w:val="22"/>
                <w:szCs w:val="22"/>
              </w:rPr>
            </w:pPr>
          </w:p>
        </w:tc>
      </w:tr>
      <w:tr w:rsidR="008A1CCD" w:rsidRPr="00252329" w:rsidTr="00252329">
        <w:trPr>
          <w:trHeight w:val="269"/>
        </w:trPr>
        <w:tc>
          <w:tcPr>
            <w:tcW w:w="189" w:type="pct"/>
            <w:tcBorders>
              <w:bottom w:val="single" w:sz="4" w:space="0" w:color="auto"/>
            </w:tcBorders>
          </w:tcPr>
          <w:p w:rsidR="008A1CCD" w:rsidRPr="00252329" w:rsidRDefault="008A1CCD" w:rsidP="00252329">
            <w:pPr>
              <w:pStyle w:val="ListParagraph"/>
              <w:widowControl w:val="0"/>
              <w:spacing w:line="276" w:lineRule="auto"/>
              <w:ind w:left="0"/>
              <w:rPr>
                <w:rFonts w:ascii="Palatino Linotype" w:hAnsi="Palatino Linotype"/>
                <w:sz w:val="22"/>
                <w:szCs w:val="22"/>
                <w:lang w:val="en-IN"/>
              </w:rPr>
            </w:pPr>
          </w:p>
        </w:tc>
        <w:tc>
          <w:tcPr>
            <w:tcW w:w="1338" w:type="pct"/>
            <w:tcBorders>
              <w:bottom w:val="single" w:sz="4" w:space="0" w:color="auto"/>
            </w:tcBorders>
          </w:tcPr>
          <w:p w:rsidR="008A1CCD" w:rsidRPr="00252329" w:rsidRDefault="008A1CCD" w:rsidP="00252329">
            <w:pPr>
              <w:widowControl w:val="0"/>
              <w:contextualSpacing/>
              <w:rPr>
                <w:rFonts w:ascii="Palatino Linotype" w:hAnsi="Palatino Linotype"/>
                <w:sz w:val="22"/>
                <w:szCs w:val="22"/>
              </w:rPr>
            </w:pPr>
          </w:p>
        </w:tc>
        <w:tc>
          <w:tcPr>
            <w:tcW w:w="1147" w:type="pct"/>
            <w:tcBorders>
              <w:top w:val="nil"/>
              <w:left w:val="single" w:sz="4" w:space="0" w:color="auto"/>
              <w:bottom w:val="single" w:sz="4" w:space="0" w:color="auto"/>
              <w:right w:val="single" w:sz="4" w:space="0" w:color="auto"/>
            </w:tcBorders>
            <w:shd w:val="clear" w:color="auto" w:fill="auto"/>
          </w:tcPr>
          <w:p w:rsidR="008A1CCD" w:rsidRPr="00252329" w:rsidRDefault="008A1CCD" w:rsidP="00252329">
            <w:pPr>
              <w:widowControl w:val="0"/>
              <w:contextualSpacing/>
              <w:rPr>
                <w:rFonts w:ascii="Palatino Linotype" w:hAnsi="Palatino Linotype"/>
                <w:sz w:val="22"/>
                <w:szCs w:val="22"/>
              </w:rPr>
            </w:pPr>
          </w:p>
        </w:tc>
        <w:tc>
          <w:tcPr>
            <w:tcW w:w="487" w:type="pct"/>
            <w:tcBorders>
              <w:bottom w:val="single" w:sz="4" w:space="0" w:color="auto"/>
            </w:tcBorders>
            <w:shd w:val="clear" w:color="auto" w:fill="FFFFFF"/>
          </w:tcPr>
          <w:p w:rsidR="008A1CCD" w:rsidRPr="00252329" w:rsidRDefault="008A1CCD" w:rsidP="00252329">
            <w:pPr>
              <w:widowControl w:val="0"/>
              <w:contextualSpacing/>
              <w:rPr>
                <w:rFonts w:ascii="Palatino Linotype" w:hAnsi="Palatino Linotype"/>
                <w:sz w:val="22"/>
                <w:szCs w:val="22"/>
              </w:rPr>
            </w:pPr>
          </w:p>
        </w:tc>
        <w:tc>
          <w:tcPr>
            <w:tcW w:w="713" w:type="pct"/>
            <w:tcBorders>
              <w:bottom w:val="single" w:sz="4" w:space="0" w:color="auto"/>
            </w:tcBorders>
            <w:shd w:val="clear" w:color="auto" w:fill="auto"/>
          </w:tcPr>
          <w:p w:rsidR="008A1CCD" w:rsidRPr="00252329" w:rsidRDefault="008A1CCD" w:rsidP="00252329">
            <w:pPr>
              <w:pStyle w:val="BodyText2"/>
              <w:widowControl w:val="0"/>
              <w:contextualSpacing/>
              <w:jc w:val="left"/>
              <w:rPr>
                <w:rFonts w:ascii="Palatino Linotype" w:hAnsi="Palatino Linotype"/>
                <w:sz w:val="22"/>
                <w:szCs w:val="22"/>
                <w:lang w:val="en-AU"/>
              </w:rPr>
            </w:pPr>
          </w:p>
        </w:tc>
        <w:tc>
          <w:tcPr>
            <w:tcW w:w="487" w:type="pct"/>
            <w:tcBorders>
              <w:bottom w:val="single" w:sz="4" w:space="0" w:color="auto"/>
            </w:tcBorders>
            <w:shd w:val="clear" w:color="auto" w:fill="FBD4B4"/>
          </w:tcPr>
          <w:p w:rsidR="008A1CCD" w:rsidRPr="00252329" w:rsidRDefault="008A1CCD" w:rsidP="00252329">
            <w:pPr>
              <w:widowControl w:val="0"/>
              <w:contextualSpacing/>
              <w:rPr>
                <w:rFonts w:ascii="Palatino Linotype" w:hAnsi="Palatino Linotype"/>
                <w:sz w:val="22"/>
                <w:szCs w:val="22"/>
              </w:rPr>
            </w:pPr>
          </w:p>
        </w:tc>
        <w:tc>
          <w:tcPr>
            <w:tcW w:w="638" w:type="pct"/>
            <w:tcBorders>
              <w:bottom w:val="single" w:sz="4" w:space="0" w:color="auto"/>
            </w:tcBorders>
            <w:shd w:val="clear" w:color="auto" w:fill="FBD4B4"/>
          </w:tcPr>
          <w:p w:rsidR="008A1CCD" w:rsidRPr="00252329" w:rsidRDefault="008A1CCD" w:rsidP="00252329">
            <w:pPr>
              <w:widowControl w:val="0"/>
              <w:contextualSpacing/>
              <w:rPr>
                <w:rFonts w:ascii="Palatino Linotype" w:hAnsi="Palatino Linotype"/>
                <w:sz w:val="22"/>
                <w:szCs w:val="22"/>
              </w:rPr>
            </w:pPr>
          </w:p>
        </w:tc>
      </w:tr>
      <w:tr w:rsidR="00B835F0" w:rsidRPr="00252329" w:rsidTr="00252329">
        <w:trPr>
          <w:trHeight w:val="269"/>
        </w:trPr>
        <w:tc>
          <w:tcPr>
            <w:tcW w:w="189" w:type="pct"/>
            <w:tcBorders>
              <w:bottom w:val="single" w:sz="4" w:space="0" w:color="auto"/>
            </w:tcBorders>
            <w:shd w:val="clear" w:color="auto" w:fill="FBD4B4"/>
          </w:tcPr>
          <w:p w:rsidR="00B835F0" w:rsidRPr="00252329" w:rsidRDefault="00B835F0" w:rsidP="00252329">
            <w:pPr>
              <w:widowControl w:val="0"/>
              <w:contextualSpacing/>
              <w:rPr>
                <w:rFonts w:ascii="Palatino Linotype" w:hAnsi="Palatino Linotype"/>
                <w:sz w:val="22"/>
                <w:szCs w:val="22"/>
              </w:rPr>
            </w:pPr>
          </w:p>
        </w:tc>
        <w:tc>
          <w:tcPr>
            <w:tcW w:w="4811" w:type="pct"/>
            <w:gridSpan w:val="6"/>
            <w:tcBorders>
              <w:bottom w:val="single" w:sz="4" w:space="0" w:color="auto"/>
            </w:tcBorders>
            <w:shd w:val="clear" w:color="auto" w:fill="FBD4B4"/>
          </w:tcPr>
          <w:p w:rsidR="00B835F0" w:rsidRPr="00252329" w:rsidRDefault="00B835F0" w:rsidP="00252329">
            <w:pPr>
              <w:widowControl w:val="0"/>
              <w:contextualSpacing/>
              <w:rPr>
                <w:rFonts w:ascii="Palatino Linotype" w:hAnsi="Palatino Linotype"/>
                <w:sz w:val="22"/>
                <w:szCs w:val="22"/>
              </w:rPr>
            </w:pPr>
          </w:p>
          <w:p w:rsidR="00B835F0" w:rsidRPr="00252329" w:rsidRDefault="00B835F0" w:rsidP="00252329">
            <w:pPr>
              <w:widowControl w:val="0"/>
              <w:contextualSpacing/>
              <w:rPr>
                <w:rFonts w:ascii="Palatino Linotype" w:hAnsi="Palatino Linotype"/>
                <w:sz w:val="22"/>
                <w:szCs w:val="22"/>
              </w:rPr>
            </w:pPr>
            <w:r w:rsidRPr="00252329">
              <w:rPr>
                <w:rFonts w:ascii="Palatino Linotype" w:hAnsi="Palatino Linotype"/>
                <w:sz w:val="22"/>
                <w:szCs w:val="22"/>
              </w:rPr>
              <w:t xml:space="preserve">TOTAL AMOUNT IN RUPEES- </w:t>
            </w:r>
          </w:p>
        </w:tc>
      </w:tr>
    </w:tbl>
    <w:p w:rsidR="00C7399B" w:rsidRPr="002D3C63" w:rsidRDefault="00C7399B" w:rsidP="00C7399B">
      <w:pPr>
        <w:rPr>
          <w:rFonts w:ascii="Calibri" w:hAnsi="Calibri"/>
          <w:i/>
          <w:sz w:val="22"/>
          <w:szCs w:val="22"/>
        </w:rPr>
      </w:pPr>
      <w:r>
        <w:rPr>
          <w:rFonts w:ascii="Calibri" w:hAnsi="Calibri"/>
          <w:i/>
          <w:sz w:val="22"/>
          <w:szCs w:val="22"/>
        </w:rPr>
        <w:t>Shaded area to be filled in by consultant</w:t>
      </w:r>
    </w:p>
    <w:p w:rsidR="00C7399B" w:rsidRPr="003466A6" w:rsidRDefault="00C7399B" w:rsidP="00C7399B">
      <w:pPr>
        <w:rPr>
          <w:rFonts w:ascii="Calibri" w:hAnsi="Calibri"/>
          <w:sz w:val="22"/>
          <w:szCs w:val="22"/>
        </w:rPr>
      </w:pPr>
    </w:p>
    <w:p w:rsidR="009D0911" w:rsidRDefault="009D0911" w:rsidP="00C7399B">
      <w:pPr>
        <w:rPr>
          <w:rFonts w:ascii="Calibri" w:hAnsi="Calibri"/>
          <w:b/>
          <w:sz w:val="22"/>
          <w:szCs w:val="22"/>
        </w:rPr>
      </w:pPr>
    </w:p>
    <w:p w:rsidR="00CD66C4" w:rsidRDefault="00CD66C4">
      <w:pPr>
        <w:rPr>
          <w:rFonts w:ascii="Calibri" w:hAnsi="Calibri"/>
          <w:b/>
          <w:sz w:val="26"/>
          <w:szCs w:val="26"/>
        </w:rPr>
      </w:pPr>
      <w:r>
        <w:rPr>
          <w:rFonts w:ascii="Calibri" w:hAnsi="Calibri"/>
          <w:b/>
          <w:sz w:val="26"/>
          <w:szCs w:val="26"/>
        </w:rPr>
        <w:br w:type="page"/>
      </w:r>
    </w:p>
    <w:p w:rsidR="00C7399B" w:rsidRPr="00B44BDB" w:rsidRDefault="00C7399B" w:rsidP="00C7399B">
      <w:pPr>
        <w:rPr>
          <w:rFonts w:ascii="Calibri" w:hAnsi="Calibri"/>
          <w:b/>
          <w:sz w:val="26"/>
          <w:szCs w:val="26"/>
        </w:rPr>
      </w:pPr>
      <w:r w:rsidRPr="00B44BDB">
        <w:rPr>
          <w:rFonts w:ascii="Calibri" w:hAnsi="Calibri"/>
          <w:b/>
          <w:sz w:val="26"/>
          <w:szCs w:val="26"/>
        </w:rPr>
        <w:t>Name of the Bidder:</w:t>
      </w:r>
      <w:r w:rsidR="006C3050">
        <w:rPr>
          <w:rFonts w:ascii="Calibri" w:hAnsi="Calibri"/>
          <w:b/>
          <w:sz w:val="26"/>
          <w:szCs w:val="26"/>
        </w:rPr>
        <w:t xml:space="preserve"> </w:t>
      </w:r>
      <w:r w:rsidRPr="00B44BDB">
        <w:rPr>
          <w:rFonts w:ascii="Calibri" w:hAnsi="Calibri"/>
          <w:b/>
          <w:sz w:val="26"/>
          <w:szCs w:val="26"/>
        </w:rPr>
        <w:tab/>
      </w:r>
      <w:r w:rsidRPr="00B44BDB">
        <w:rPr>
          <w:rFonts w:ascii="Calibri" w:hAnsi="Calibri"/>
          <w:b/>
          <w:sz w:val="26"/>
          <w:szCs w:val="26"/>
        </w:rPr>
        <w:tab/>
      </w:r>
    </w:p>
    <w:p w:rsidR="00C7399B" w:rsidRPr="00B44BDB" w:rsidRDefault="00C7399B" w:rsidP="00C7399B">
      <w:pPr>
        <w:rPr>
          <w:rFonts w:ascii="Calibri" w:hAnsi="Calibri"/>
          <w:b/>
          <w:sz w:val="26"/>
          <w:szCs w:val="26"/>
        </w:rPr>
      </w:pPr>
    </w:p>
    <w:p w:rsidR="00C7399B" w:rsidRPr="00B44BDB" w:rsidRDefault="00C7399B" w:rsidP="00C7399B">
      <w:pPr>
        <w:rPr>
          <w:rFonts w:ascii="Calibri" w:hAnsi="Calibri"/>
          <w:b/>
          <w:sz w:val="26"/>
          <w:szCs w:val="26"/>
        </w:rPr>
      </w:pPr>
      <w:r w:rsidRPr="00B44BDB">
        <w:rPr>
          <w:rFonts w:ascii="Calibri" w:hAnsi="Calibri"/>
          <w:b/>
          <w:sz w:val="26"/>
          <w:szCs w:val="26"/>
        </w:rPr>
        <w:t>Address:</w:t>
      </w:r>
      <w:r w:rsidR="006C3050">
        <w:rPr>
          <w:rFonts w:ascii="Calibri" w:hAnsi="Calibri"/>
          <w:b/>
          <w:sz w:val="26"/>
          <w:szCs w:val="26"/>
        </w:rPr>
        <w:t xml:space="preserve"> </w:t>
      </w:r>
      <w:r w:rsidR="004F6A02" w:rsidRPr="00B44BDB">
        <w:rPr>
          <w:rFonts w:ascii="Calibri" w:hAnsi="Calibri"/>
          <w:b/>
          <w:sz w:val="26"/>
          <w:szCs w:val="26"/>
        </w:rPr>
        <w:t xml:space="preserve"> </w:t>
      </w:r>
    </w:p>
    <w:p w:rsidR="00C7399B" w:rsidRPr="00B44BDB" w:rsidRDefault="00C7399B" w:rsidP="00C7399B">
      <w:pPr>
        <w:rPr>
          <w:rFonts w:ascii="Calibri" w:hAnsi="Calibri"/>
          <w:b/>
          <w:sz w:val="26"/>
          <w:szCs w:val="26"/>
        </w:rPr>
      </w:pPr>
    </w:p>
    <w:p w:rsidR="00C7399B" w:rsidRPr="00B44BDB" w:rsidRDefault="00C7399B" w:rsidP="00C7399B">
      <w:pPr>
        <w:rPr>
          <w:rFonts w:ascii="Calibri" w:hAnsi="Calibri"/>
          <w:b/>
          <w:sz w:val="26"/>
          <w:szCs w:val="26"/>
        </w:rPr>
      </w:pPr>
      <w:r w:rsidRPr="00B44BDB">
        <w:rPr>
          <w:rFonts w:ascii="Calibri" w:hAnsi="Calibri"/>
          <w:b/>
          <w:sz w:val="26"/>
          <w:szCs w:val="26"/>
        </w:rPr>
        <w:t>Contact no.:</w:t>
      </w:r>
      <w:r w:rsidRPr="00B44BDB">
        <w:rPr>
          <w:rFonts w:ascii="Calibri" w:hAnsi="Calibri"/>
          <w:b/>
          <w:sz w:val="26"/>
          <w:szCs w:val="26"/>
        </w:rPr>
        <w:tab/>
      </w:r>
    </w:p>
    <w:p w:rsidR="00C7399B" w:rsidRPr="00B44BDB" w:rsidRDefault="00C7399B" w:rsidP="00C7399B">
      <w:pPr>
        <w:rPr>
          <w:rFonts w:ascii="Calibri" w:hAnsi="Calibri"/>
          <w:b/>
          <w:sz w:val="26"/>
          <w:szCs w:val="26"/>
        </w:rPr>
      </w:pPr>
    </w:p>
    <w:p w:rsidR="006C3050" w:rsidRDefault="00C7399B" w:rsidP="00C7399B">
      <w:r w:rsidRPr="00B44BDB">
        <w:rPr>
          <w:rFonts w:ascii="Calibri" w:hAnsi="Calibri"/>
          <w:b/>
          <w:sz w:val="26"/>
          <w:szCs w:val="26"/>
        </w:rPr>
        <w:t>Email address:</w:t>
      </w:r>
      <w:r w:rsidR="008E4369" w:rsidRPr="00B44BDB">
        <w:rPr>
          <w:rFonts w:ascii="Calibri" w:hAnsi="Calibri"/>
          <w:b/>
          <w:sz w:val="26"/>
          <w:szCs w:val="26"/>
        </w:rPr>
        <w:t xml:space="preserve"> </w:t>
      </w:r>
    </w:p>
    <w:p w:rsidR="006C3050" w:rsidRDefault="006C3050" w:rsidP="00C7399B"/>
    <w:p w:rsidR="00C7399B" w:rsidRPr="00B44BDB" w:rsidRDefault="00C7399B" w:rsidP="00C7399B">
      <w:pPr>
        <w:rPr>
          <w:rFonts w:ascii="Calibri" w:hAnsi="Calibri"/>
          <w:sz w:val="26"/>
          <w:szCs w:val="26"/>
        </w:rPr>
      </w:pPr>
      <w:r w:rsidRPr="00B44BDB">
        <w:rPr>
          <w:rFonts w:ascii="Calibri" w:hAnsi="Calibri"/>
          <w:b/>
          <w:sz w:val="26"/>
          <w:szCs w:val="26"/>
        </w:rPr>
        <w:t>Date:</w:t>
      </w:r>
      <w:r w:rsidRPr="00B44BDB">
        <w:rPr>
          <w:rFonts w:ascii="Calibri" w:hAnsi="Calibri"/>
          <w:b/>
          <w:sz w:val="26"/>
          <w:szCs w:val="26"/>
        </w:rPr>
        <w:tab/>
      </w:r>
      <w:r w:rsidRPr="00B44BDB">
        <w:rPr>
          <w:rFonts w:ascii="Calibri" w:hAnsi="Calibri"/>
          <w:b/>
          <w:sz w:val="26"/>
          <w:szCs w:val="26"/>
        </w:rPr>
        <w:tab/>
      </w:r>
      <w:r w:rsidRPr="00B44BDB">
        <w:rPr>
          <w:rFonts w:ascii="Calibri" w:hAnsi="Calibri"/>
          <w:b/>
          <w:sz w:val="26"/>
          <w:szCs w:val="26"/>
        </w:rPr>
        <w:tab/>
      </w:r>
      <w:r w:rsidRPr="00B44BDB">
        <w:rPr>
          <w:rFonts w:ascii="Calibri" w:hAnsi="Calibri"/>
          <w:b/>
          <w:sz w:val="26"/>
          <w:szCs w:val="26"/>
        </w:rPr>
        <w:tab/>
      </w:r>
    </w:p>
    <w:p w:rsidR="00C7399B" w:rsidRPr="00B44BDB" w:rsidRDefault="00C7399B" w:rsidP="00C7399B">
      <w:pPr>
        <w:rPr>
          <w:sz w:val="26"/>
          <w:szCs w:val="26"/>
        </w:rPr>
      </w:pPr>
    </w:p>
    <w:sectPr w:rsidR="00C7399B" w:rsidRPr="00B44BDB" w:rsidSect="00FB65AE">
      <w:pgSz w:w="16839" w:h="11907" w:orient="landscape" w:code="9"/>
      <w:pgMar w:top="1440" w:right="1440" w:bottom="1170" w:left="126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0542F"/>
    <w:multiLevelType w:val="hybridMultilevel"/>
    <w:tmpl w:val="BD4CC48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83B7D4F"/>
    <w:multiLevelType w:val="hybridMultilevel"/>
    <w:tmpl w:val="F774B4F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AF17187"/>
    <w:multiLevelType w:val="hybridMultilevel"/>
    <w:tmpl w:val="417A494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0B944B1"/>
    <w:multiLevelType w:val="hybridMultilevel"/>
    <w:tmpl w:val="023883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7">
      <w:start w:val="1"/>
      <w:numFmt w:val="lowerLetter"/>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953D32"/>
    <w:multiLevelType w:val="hybridMultilevel"/>
    <w:tmpl w:val="C41E614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26D144A"/>
    <w:multiLevelType w:val="hybridMultilevel"/>
    <w:tmpl w:val="35C418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C27581"/>
    <w:multiLevelType w:val="hybridMultilevel"/>
    <w:tmpl w:val="CCE4E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79512F"/>
    <w:multiLevelType w:val="hybridMultilevel"/>
    <w:tmpl w:val="8BA60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550109"/>
    <w:multiLevelType w:val="hybridMultilevel"/>
    <w:tmpl w:val="85DCDD48"/>
    <w:lvl w:ilvl="0" w:tplc="48F42CA8">
      <w:start w:val="1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A4F64B5"/>
    <w:multiLevelType w:val="hybridMultilevel"/>
    <w:tmpl w:val="6D56E19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2FFE5F1F"/>
    <w:multiLevelType w:val="hybridMultilevel"/>
    <w:tmpl w:val="A70E59A4"/>
    <w:lvl w:ilvl="0" w:tplc="EFF2DA6A">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761447D"/>
    <w:multiLevelType w:val="hybridMultilevel"/>
    <w:tmpl w:val="5DF021C8"/>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BF26578"/>
    <w:multiLevelType w:val="hybridMultilevel"/>
    <w:tmpl w:val="D8AE395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A533D3"/>
    <w:multiLevelType w:val="hybridMultilevel"/>
    <w:tmpl w:val="CE9CE7B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3D510728"/>
    <w:multiLevelType w:val="hybridMultilevel"/>
    <w:tmpl w:val="5E0A1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B179D6"/>
    <w:multiLevelType w:val="hybridMultilevel"/>
    <w:tmpl w:val="985A24DC"/>
    <w:lvl w:ilvl="0" w:tplc="04090017">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408C7C0E"/>
    <w:multiLevelType w:val="hybridMultilevel"/>
    <w:tmpl w:val="3F62103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42822C9F"/>
    <w:multiLevelType w:val="hybridMultilevel"/>
    <w:tmpl w:val="EB526E98"/>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635288C"/>
    <w:multiLevelType w:val="hybridMultilevel"/>
    <w:tmpl w:val="2C1A4FB2"/>
    <w:lvl w:ilvl="0" w:tplc="40090015">
      <w:start w:val="1"/>
      <w:numFmt w:val="upp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6BE18F4"/>
    <w:multiLevelType w:val="hybridMultilevel"/>
    <w:tmpl w:val="8BBC4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2A4C43"/>
    <w:multiLevelType w:val="hybridMultilevel"/>
    <w:tmpl w:val="46906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2401EE"/>
    <w:multiLevelType w:val="hybridMultilevel"/>
    <w:tmpl w:val="D5AA8AA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55CC2E28"/>
    <w:multiLevelType w:val="hybridMultilevel"/>
    <w:tmpl w:val="CA747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85211C9"/>
    <w:multiLevelType w:val="hybridMultilevel"/>
    <w:tmpl w:val="412465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8A57A8E"/>
    <w:multiLevelType w:val="hybridMultilevel"/>
    <w:tmpl w:val="A7E0A93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5F657EFE"/>
    <w:multiLevelType w:val="hybridMultilevel"/>
    <w:tmpl w:val="41A00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766B3F"/>
    <w:multiLevelType w:val="hybridMultilevel"/>
    <w:tmpl w:val="579C6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E61B55"/>
    <w:multiLevelType w:val="hybridMultilevel"/>
    <w:tmpl w:val="74FA1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5885C17"/>
    <w:multiLevelType w:val="hybridMultilevel"/>
    <w:tmpl w:val="34A409B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679A58B6"/>
    <w:multiLevelType w:val="hybridMultilevel"/>
    <w:tmpl w:val="A8009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555A6C"/>
    <w:multiLevelType w:val="hybridMultilevel"/>
    <w:tmpl w:val="68922D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EB59DA"/>
    <w:multiLevelType w:val="hybridMultilevel"/>
    <w:tmpl w:val="6002B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D76223F"/>
    <w:multiLevelType w:val="hybridMultilevel"/>
    <w:tmpl w:val="04C67C2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15:restartNumberingAfterBreak="0">
    <w:nsid w:val="705E159E"/>
    <w:multiLevelType w:val="hybridMultilevel"/>
    <w:tmpl w:val="EEE2F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552944"/>
    <w:multiLevelType w:val="hybridMultilevel"/>
    <w:tmpl w:val="AA82B4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320C44"/>
    <w:multiLevelType w:val="hybridMultilevel"/>
    <w:tmpl w:val="6EF4FE72"/>
    <w:lvl w:ilvl="0" w:tplc="04090017">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740408DA"/>
    <w:multiLevelType w:val="hybridMultilevel"/>
    <w:tmpl w:val="643605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7" w15:restartNumberingAfterBreak="0">
    <w:nsid w:val="7E9B5275"/>
    <w:multiLevelType w:val="hybridMultilevel"/>
    <w:tmpl w:val="13A4F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22"/>
  </w:num>
  <w:num w:numId="3">
    <w:abstractNumId w:val="19"/>
  </w:num>
  <w:num w:numId="4">
    <w:abstractNumId w:val="27"/>
  </w:num>
  <w:num w:numId="5">
    <w:abstractNumId w:val="31"/>
  </w:num>
  <w:num w:numId="6">
    <w:abstractNumId w:val="30"/>
  </w:num>
  <w:num w:numId="7">
    <w:abstractNumId w:val="26"/>
  </w:num>
  <w:num w:numId="8">
    <w:abstractNumId w:val="6"/>
  </w:num>
  <w:num w:numId="9">
    <w:abstractNumId w:val="33"/>
  </w:num>
  <w:num w:numId="10">
    <w:abstractNumId w:val="20"/>
  </w:num>
  <w:num w:numId="11">
    <w:abstractNumId w:val="25"/>
  </w:num>
  <w:num w:numId="12">
    <w:abstractNumId w:val="37"/>
  </w:num>
  <w:num w:numId="13">
    <w:abstractNumId w:val="23"/>
  </w:num>
  <w:num w:numId="14">
    <w:abstractNumId w:val="7"/>
  </w:num>
  <w:num w:numId="15">
    <w:abstractNumId w:val="34"/>
  </w:num>
  <w:num w:numId="16">
    <w:abstractNumId w:val="9"/>
  </w:num>
  <w:num w:numId="17">
    <w:abstractNumId w:val="1"/>
  </w:num>
  <w:num w:numId="18">
    <w:abstractNumId w:val="5"/>
  </w:num>
  <w:num w:numId="19">
    <w:abstractNumId w:val="3"/>
  </w:num>
  <w:num w:numId="20">
    <w:abstractNumId w:val="35"/>
  </w:num>
  <w:num w:numId="21">
    <w:abstractNumId w:val="8"/>
  </w:num>
  <w:num w:numId="22">
    <w:abstractNumId w:val="17"/>
  </w:num>
  <w:num w:numId="23">
    <w:abstractNumId w:val="15"/>
  </w:num>
  <w:num w:numId="24">
    <w:abstractNumId w:val="11"/>
  </w:num>
  <w:num w:numId="25">
    <w:abstractNumId w:val="10"/>
  </w:num>
  <w:num w:numId="26">
    <w:abstractNumId w:val="21"/>
  </w:num>
  <w:num w:numId="27">
    <w:abstractNumId w:val="4"/>
  </w:num>
  <w:num w:numId="28">
    <w:abstractNumId w:val="32"/>
  </w:num>
  <w:num w:numId="29">
    <w:abstractNumId w:val="0"/>
  </w:num>
  <w:num w:numId="30">
    <w:abstractNumId w:val="2"/>
  </w:num>
  <w:num w:numId="31">
    <w:abstractNumId w:val="16"/>
  </w:num>
  <w:num w:numId="32">
    <w:abstractNumId w:val="24"/>
  </w:num>
  <w:num w:numId="33">
    <w:abstractNumId w:val="28"/>
  </w:num>
  <w:num w:numId="34">
    <w:abstractNumId w:val="36"/>
  </w:num>
  <w:num w:numId="35">
    <w:abstractNumId w:val="13"/>
  </w:num>
  <w:num w:numId="36">
    <w:abstractNumId w:val="12"/>
  </w:num>
  <w:num w:numId="37">
    <w:abstractNumId w:val="18"/>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99B"/>
    <w:rsid w:val="000009FD"/>
    <w:rsid w:val="00004802"/>
    <w:rsid w:val="00010293"/>
    <w:rsid w:val="000211C6"/>
    <w:rsid w:val="00032FA6"/>
    <w:rsid w:val="00040666"/>
    <w:rsid w:val="00076160"/>
    <w:rsid w:val="00082454"/>
    <w:rsid w:val="00086462"/>
    <w:rsid w:val="00094BC1"/>
    <w:rsid w:val="000966F1"/>
    <w:rsid w:val="000A63F4"/>
    <w:rsid w:val="000C2EB6"/>
    <w:rsid w:val="000C3643"/>
    <w:rsid w:val="000C5814"/>
    <w:rsid w:val="000C6F2A"/>
    <w:rsid w:val="000D2BB2"/>
    <w:rsid w:val="000F590B"/>
    <w:rsid w:val="00101011"/>
    <w:rsid w:val="0011093C"/>
    <w:rsid w:val="00116640"/>
    <w:rsid w:val="00134ED0"/>
    <w:rsid w:val="00160026"/>
    <w:rsid w:val="00160D34"/>
    <w:rsid w:val="00163600"/>
    <w:rsid w:val="00171648"/>
    <w:rsid w:val="001C01DD"/>
    <w:rsid w:val="001C29B3"/>
    <w:rsid w:val="001D1EBD"/>
    <w:rsid w:val="001F7E40"/>
    <w:rsid w:val="002041E1"/>
    <w:rsid w:val="002118BE"/>
    <w:rsid w:val="00216268"/>
    <w:rsid w:val="0022639F"/>
    <w:rsid w:val="00226414"/>
    <w:rsid w:val="00232270"/>
    <w:rsid w:val="00252329"/>
    <w:rsid w:val="002573CD"/>
    <w:rsid w:val="00270955"/>
    <w:rsid w:val="00275407"/>
    <w:rsid w:val="00282331"/>
    <w:rsid w:val="002902E8"/>
    <w:rsid w:val="00296551"/>
    <w:rsid w:val="0029731F"/>
    <w:rsid w:val="002A20F5"/>
    <w:rsid w:val="002A6BBE"/>
    <w:rsid w:val="002B64D7"/>
    <w:rsid w:val="002B784A"/>
    <w:rsid w:val="002C187E"/>
    <w:rsid w:val="002E04CA"/>
    <w:rsid w:val="00302065"/>
    <w:rsid w:val="00314C0D"/>
    <w:rsid w:val="00327CE8"/>
    <w:rsid w:val="00340994"/>
    <w:rsid w:val="00357265"/>
    <w:rsid w:val="00367CA2"/>
    <w:rsid w:val="003747F7"/>
    <w:rsid w:val="003832D9"/>
    <w:rsid w:val="003861A8"/>
    <w:rsid w:val="003A1524"/>
    <w:rsid w:val="003C4204"/>
    <w:rsid w:val="003E18BB"/>
    <w:rsid w:val="003E1E0B"/>
    <w:rsid w:val="003F1C9F"/>
    <w:rsid w:val="003F4EFD"/>
    <w:rsid w:val="00412446"/>
    <w:rsid w:val="00436A5F"/>
    <w:rsid w:val="00465C4C"/>
    <w:rsid w:val="00470EEC"/>
    <w:rsid w:val="0047206B"/>
    <w:rsid w:val="004811FB"/>
    <w:rsid w:val="004867E8"/>
    <w:rsid w:val="00486CEF"/>
    <w:rsid w:val="00497171"/>
    <w:rsid w:val="004A184A"/>
    <w:rsid w:val="004A33D6"/>
    <w:rsid w:val="004A469C"/>
    <w:rsid w:val="004C10EC"/>
    <w:rsid w:val="004C47A5"/>
    <w:rsid w:val="004F6A02"/>
    <w:rsid w:val="0050251A"/>
    <w:rsid w:val="00516DD5"/>
    <w:rsid w:val="005223FE"/>
    <w:rsid w:val="005547E7"/>
    <w:rsid w:val="005562B3"/>
    <w:rsid w:val="00560049"/>
    <w:rsid w:val="005658D3"/>
    <w:rsid w:val="005A0538"/>
    <w:rsid w:val="005A2794"/>
    <w:rsid w:val="005B4A9A"/>
    <w:rsid w:val="005E2F9D"/>
    <w:rsid w:val="005E64F8"/>
    <w:rsid w:val="00600430"/>
    <w:rsid w:val="0061200E"/>
    <w:rsid w:val="00624C62"/>
    <w:rsid w:val="006331F9"/>
    <w:rsid w:val="006400DE"/>
    <w:rsid w:val="0064517B"/>
    <w:rsid w:val="00645652"/>
    <w:rsid w:val="00666988"/>
    <w:rsid w:val="00675800"/>
    <w:rsid w:val="00675984"/>
    <w:rsid w:val="00684A7B"/>
    <w:rsid w:val="006B3439"/>
    <w:rsid w:val="006C0664"/>
    <w:rsid w:val="006C3050"/>
    <w:rsid w:val="006E3BE1"/>
    <w:rsid w:val="006F186F"/>
    <w:rsid w:val="006F584B"/>
    <w:rsid w:val="00700DFB"/>
    <w:rsid w:val="00721C5F"/>
    <w:rsid w:val="007305F8"/>
    <w:rsid w:val="00736BAE"/>
    <w:rsid w:val="00753A60"/>
    <w:rsid w:val="00756795"/>
    <w:rsid w:val="007867B0"/>
    <w:rsid w:val="00792784"/>
    <w:rsid w:val="007B16F6"/>
    <w:rsid w:val="007D0C2C"/>
    <w:rsid w:val="007D61DA"/>
    <w:rsid w:val="007E60BD"/>
    <w:rsid w:val="007F02C6"/>
    <w:rsid w:val="0081246B"/>
    <w:rsid w:val="00824368"/>
    <w:rsid w:val="00825CCF"/>
    <w:rsid w:val="00833D89"/>
    <w:rsid w:val="00836029"/>
    <w:rsid w:val="00844A18"/>
    <w:rsid w:val="0085144C"/>
    <w:rsid w:val="008668AE"/>
    <w:rsid w:val="00875298"/>
    <w:rsid w:val="008873CC"/>
    <w:rsid w:val="008A1CCD"/>
    <w:rsid w:val="008C32DB"/>
    <w:rsid w:val="008D3C13"/>
    <w:rsid w:val="008E4369"/>
    <w:rsid w:val="00916678"/>
    <w:rsid w:val="00940B37"/>
    <w:rsid w:val="00940B75"/>
    <w:rsid w:val="00944F6F"/>
    <w:rsid w:val="009662F4"/>
    <w:rsid w:val="0097416A"/>
    <w:rsid w:val="00991974"/>
    <w:rsid w:val="009B0F0E"/>
    <w:rsid w:val="009C1DC9"/>
    <w:rsid w:val="009C288C"/>
    <w:rsid w:val="009D0911"/>
    <w:rsid w:val="009D1616"/>
    <w:rsid w:val="009E0E4D"/>
    <w:rsid w:val="009E5AE1"/>
    <w:rsid w:val="009F06F3"/>
    <w:rsid w:val="00A476BA"/>
    <w:rsid w:val="00A51B2C"/>
    <w:rsid w:val="00A72CDF"/>
    <w:rsid w:val="00AC6BD3"/>
    <w:rsid w:val="00AD5607"/>
    <w:rsid w:val="00B15303"/>
    <w:rsid w:val="00B2653A"/>
    <w:rsid w:val="00B34778"/>
    <w:rsid w:val="00B44BDB"/>
    <w:rsid w:val="00B45760"/>
    <w:rsid w:val="00B46358"/>
    <w:rsid w:val="00B6168E"/>
    <w:rsid w:val="00B726F9"/>
    <w:rsid w:val="00B835F0"/>
    <w:rsid w:val="00BA3384"/>
    <w:rsid w:val="00BB0958"/>
    <w:rsid w:val="00BB6A13"/>
    <w:rsid w:val="00BC4841"/>
    <w:rsid w:val="00C0102B"/>
    <w:rsid w:val="00C120E6"/>
    <w:rsid w:val="00C16922"/>
    <w:rsid w:val="00C2112F"/>
    <w:rsid w:val="00C2228D"/>
    <w:rsid w:val="00C27D68"/>
    <w:rsid w:val="00C6151C"/>
    <w:rsid w:val="00C634BF"/>
    <w:rsid w:val="00C72A13"/>
    <w:rsid w:val="00C7399B"/>
    <w:rsid w:val="00C74173"/>
    <w:rsid w:val="00C75DDF"/>
    <w:rsid w:val="00C8328C"/>
    <w:rsid w:val="00C92772"/>
    <w:rsid w:val="00CA300A"/>
    <w:rsid w:val="00CC4C9F"/>
    <w:rsid w:val="00CD66C4"/>
    <w:rsid w:val="00CE05C4"/>
    <w:rsid w:val="00CF337B"/>
    <w:rsid w:val="00D15668"/>
    <w:rsid w:val="00D26948"/>
    <w:rsid w:val="00D4082D"/>
    <w:rsid w:val="00D41CD7"/>
    <w:rsid w:val="00D43560"/>
    <w:rsid w:val="00D51171"/>
    <w:rsid w:val="00DA7DBC"/>
    <w:rsid w:val="00DC643C"/>
    <w:rsid w:val="00DD0E50"/>
    <w:rsid w:val="00DE1583"/>
    <w:rsid w:val="00DF1C71"/>
    <w:rsid w:val="00DF398E"/>
    <w:rsid w:val="00DF510B"/>
    <w:rsid w:val="00E0779C"/>
    <w:rsid w:val="00E34262"/>
    <w:rsid w:val="00E45E15"/>
    <w:rsid w:val="00E75581"/>
    <w:rsid w:val="00E8516A"/>
    <w:rsid w:val="00E912CC"/>
    <w:rsid w:val="00E92552"/>
    <w:rsid w:val="00EA15AE"/>
    <w:rsid w:val="00EF5076"/>
    <w:rsid w:val="00F078C3"/>
    <w:rsid w:val="00F11C7D"/>
    <w:rsid w:val="00F20A98"/>
    <w:rsid w:val="00F265B1"/>
    <w:rsid w:val="00F55E56"/>
    <w:rsid w:val="00F57E8D"/>
    <w:rsid w:val="00F66D56"/>
    <w:rsid w:val="00F71E60"/>
    <w:rsid w:val="00F80CE1"/>
    <w:rsid w:val="00F82223"/>
    <w:rsid w:val="00F8270C"/>
    <w:rsid w:val="00F916EC"/>
    <w:rsid w:val="00F969EE"/>
    <w:rsid w:val="00F96EE7"/>
    <w:rsid w:val="00FA7991"/>
    <w:rsid w:val="00FB3A3B"/>
    <w:rsid w:val="00FB65AE"/>
    <w:rsid w:val="00FC2B43"/>
    <w:rsid w:val="00FD35D9"/>
    <w:rsid w:val="00FF1692"/>
  </w:rsids>
  <m:mathPr>
    <m:mathFont m:val="Cambria Math"/>
    <m:brkBin m:val="before"/>
    <m:brkBinSub m:val="--"/>
    <m:smallFrac m:val="0"/>
    <m:dispDef/>
    <m:lMargin m:val="0"/>
    <m:rMargin m:val="0"/>
    <m:defJc m:val="centerGroup"/>
    <m:wrapIndent m:val="1440"/>
    <m:intLim m:val="subSup"/>
    <m:naryLim m:val="undOvr"/>
  </m:mathPr>
  <w:themeFontLang w:val="en-IN" w:bidi="kok-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5FAF8"/>
  <w15:docId w15:val="{037C01B5-22CF-4BDE-98C1-BE26F6F12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99B"/>
    <w:rPr>
      <w:rFonts w:ascii="Times New Roman" w:eastAsia="Times New Roman" w:hAnsi="Times New Roman"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7399B"/>
    <w:pPr>
      <w:jc w:val="both"/>
    </w:pPr>
  </w:style>
  <w:style w:type="character" w:customStyle="1" w:styleId="BodyText2Char">
    <w:name w:val="Body Text 2 Char"/>
    <w:link w:val="BodyText2"/>
    <w:rsid w:val="00C7399B"/>
    <w:rPr>
      <w:rFonts w:ascii="Times New Roman" w:eastAsia="Times New Roman" w:hAnsi="Times New Roman" w:cs="Times New Roman"/>
      <w:lang w:bidi="ar-SA"/>
    </w:rPr>
  </w:style>
  <w:style w:type="paragraph" w:styleId="ListParagraph">
    <w:name w:val="List Paragraph"/>
    <w:basedOn w:val="Normal"/>
    <w:link w:val="ListParagraphChar"/>
    <w:uiPriority w:val="34"/>
    <w:qFormat/>
    <w:rsid w:val="00C7399B"/>
    <w:pPr>
      <w:ind w:left="720"/>
      <w:contextualSpacing/>
    </w:pPr>
    <w:rPr>
      <w:sz w:val="24"/>
      <w:szCs w:val="24"/>
    </w:rPr>
  </w:style>
  <w:style w:type="character" w:customStyle="1" w:styleId="ListParagraphChar">
    <w:name w:val="List Paragraph Char"/>
    <w:link w:val="ListParagraph"/>
    <w:uiPriority w:val="34"/>
    <w:locked/>
    <w:rsid w:val="00C7399B"/>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C27D68"/>
    <w:rPr>
      <w:rFonts w:ascii="Segoe UI" w:hAnsi="Segoe UI"/>
      <w:sz w:val="18"/>
      <w:szCs w:val="18"/>
    </w:rPr>
  </w:style>
  <w:style w:type="character" w:customStyle="1" w:styleId="BalloonTextChar">
    <w:name w:val="Balloon Text Char"/>
    <w:link w:val="BalloonText"/>
    <w:uiPriority w:val="99"/>
    <w:semiHidden/>
    <w:rsid w:val="00C27D68"/>
    <w:rPr>
      <w:rFonts w:ascii="Segoe UI" w:eastAsia="Times New Roman" w:hAnsi="Segoe UI" w:cs="Segoe UI"/>
      <w:sz w:val="18"/>
      <w:szCs w:val="18"/>
    </w:rPr>
  </w:style>
  <w:style w:type="character" w:styleId="Hyperlink">
    <w:name w:val="Hyperlink"/>
    <w:basedOn w:val="DefaultParagraphFont"/>
    <w:uiPriority w:val="99"/>
    <w:unhideWhenUsed/>
    <w:rsid w:val="008E4369"/>
    <w:rPr>
      <w:color w:val="0000FF" w:themeColor="hyperlink"/>
      <w:u w:val="single"/>
    </w:rPr>
  </w:style>
  <w:style w:type="paragraph" w:styleId="FootnoteText">
    <w:name w:val="footnote text"/>
    <w:basedOn w:val="Normal"/>
    <w:link w:val="FootnoteTextChar"/>
    <w:uiPriority w:val="99"/>
    <w:semiHidden/>
    <w:rsid w:val="00844A18"/>
  </w:style>
  <w:style w:type="character" w:customStyle="1" w:styleId="FootnoteTextChar">
    <w:name w:val="Footnote Text Char"/>
    <w:basedOn w:val="DefaultParagraphFont"/>
    <w:link w:val="FootnoteText"/>
    <w:uiPriority w:val="99"/>
    <w:semiHidden/>
    <w:rsid w:val="00844A18"/>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Parveen Bhandari</cp:lastModifiedBy>
  <cp:revision>1</cp:revision>
  <cp:lastPrinted>2014-04-25T04:12:00Z</cp:lastPrinted>
  <dcterms:created xsi:type="dcterms:W3CDTF">2017-02-11T11:20:00Z</dcterms:created>
  <dcterms:modified xsi:type="dcterms:W3CDTF">2017-02-11T11:20:00Z</dcterms:modified>
</cp:coreProperties>
</file>